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E754" w14:textId="77777777" w:rsidR="00BC13EE" w:rsidRDefault="00BC13EE">
      <w:pPr>
        <w:pStyle w:val="Brezrazmikov1"/>
        <w:tabs>
          <w:tab w:val="left" w:pos="851"/>
        </w:tabs>
        <w:spacing w:line="276" w:lineRule="atLeast"/>
        <w:rPr>
          <w:b/>
        </w:rPr>
        <w:sectPr w:rsidR="00BC13EE" w:rsidSect="00C576DB">
          <w:headerReference w:type="default" r:id="rId8"/>
          <w:footerReference w:type="default" r:id="rId9"/>
          <w:pgSz w:w="11907" w:h="16840"/>
          <w:pgMar w:top="2268" w:right="1134" w:bottom="1418" w:left="1134" w:header="1134" w:footer="964" w:gutter="0"/>
          <w:cols w:space="708"/>
        </w:sectPr>
      </w:pPr>
    </w:p>
    <w:p w14:paraId="02A57311" w14:textId="77777777" w:rsidR="00C83625" w:rsidRDefault="00C83625" w:rsidP="00C83625">
      <w:pPr>
        <w:pStyle w:val="Brezrazmikov1"/>
        <w:spacing w:line="300" w:lineRule="exact"/>
      </w:pPr>
    </w:p>
    <w:p w14:paraId="37DB3D3C" w14:textId="77777777" w:rsidR="00C83625" w:rsidRDefault="00C83625" w:rsidP="00C83625">
      <w:pPr>
        <w:pStyle w:val="Brezrazmikov1"/>
        <w:spacing w:line="300" w:lineRule="exact"/>
      </w:pPr>
    </w:p>
    <w:p w14:paraId="67DFD944" w14:textId="77777777" w:rsidR="00C83625" w:rsidRDefault="00C83625" w:rsidP="00C83625">
      <w:pPr>
        <w:pStyle w:val="Brezrazmikov1"/>
        <w:spacing w:line="300" w:lineRule="exact"/>
      </w:pPr>
    </w:p>
    <w:p w14:paraId="27584986" w14:textId="11A6B34E" w:rsidR="00BC13EE" w:rsidRPr="009F0344" w:rsidRDefault="00BC13EE" w:rsidP="00C83625">
      <w:pPr>
        <w:pStyle w:val="Brezrazmikov1"/>
        <w:spacing w:line="300" w:lineRule="exact"/>
        <w:rPr>
          <w:b/>
          <w:bCs/>
          <w:sz w:val="22"/>
          <w:szCs w:val="22"/>
        </w:rPr>
      </w:pPr>
      <w:r w:rsidRPr="00133DCE">
        <w:rPr>
          <w:b/>
          <w:bCs/>
          <w:sz w:val="22"/>
          <w:szCs w:val="22"/>
        </w:rPr>
        <w:t xml:space="preserve">Številka: </w:t>
      </w:r>
      <w:r w:rsidR="006E1E10" w:rsidRPr="006E1E10">
        <w:rPr>
          <w:b/>
          <w:bCs/>
          <w:sz w:val="22"/>
          <w:szCs w:val="22"/>
        </w:rPr>
        <w:t>40119-6/2023-24</w:t>
      </w:r>
    </w:p>
    <w:p w14:paraId="01096284" w14:textId="2F960780" w:rsidR="00BC13EE" w:rsidRPr="009F0344" w:rsidRDefault="00BC13EE" w:rsidP="0025604F">
      <w:pPr>
        <w:pStyle w:val="Brezrazmikov1"/>
        <w:tabs>
          <w:tab w:val="left" w:pos="851"/>
        </w:tabs>
        <w:spacing w:line="300" w:lineRule="exact"/>
        <w:rPr>
          <w:b/>
          <w:bCs/>
          <w:sz w:val="22"/>
          <w:szCs w:val="22"/>
        </w:rPr>
      </w:pPr>
      <w:r w:rsidRPr="0030341D">
        <w:rPr>
          <w:b/>
          <w:bCs/>
          <w:sz w:val="22"/>
          <w:szCs w:val="22"/>
        </w:rPr>
        <w:t>Datum:</w:t>
      </w:r>
      <w:r w:rsidR="00982DEF" w:rsidRPr="0030341D">
        <w:rPr>
          <w:b/>
          <w:bCs/>
          <w:sz w:val="22"/>
          <w:szCs w:val="22"/>
        </w:rPr>
        <w:t xml:space="preserve"> </w:t>
      </w:r>
      <w:r w:rsidR="006E1E10">
        <w:rPr>
          <w:b/>
          <w:bCs/>
          <w:sz w:val="22"/>
          <w:szCs w:val="22"/>
        </w:rPr>
        <w:t>14. 7. 2025</w:t>
      </w:r>
    </w:p>
    <w:p w14:paraId="60150458" w14:textId="77777777" w:rsidR="00BC13EE" w:rsidRPr="00C83625" w:rsidRDefault="00BC13EE" w:rsidP="00235ABE">
      <w:pPr>
        <w:spacing w:after="0" w:line="300" w:lineRule="exact"/>
        <w:jc w:val="both"/>
        <w:rPr>
          <w:sz w:val="22"/>
          <w:szCs w:val="22"/>
        </w:rPr>
      </w:pPr>
    </w:p>
    <w:p w14:paraId="21548C1F" w14:textId="77777777" w:rsidR="00E22F6D" w:rsidRDefault="00E22F6D" w:rsidP="00235ABE">
      <w:pPr>
        <w:spacing w:after="0" w:line="300" w:lineRule="exact"/>
        <w:jc w:val="both"/>
        <w:rPr>
          <w:sz w:val="22"/>
          <w:szCs w:val="22"/>
        </w:rPr>
      </w:pPr>
    </w:p>
    <w:p w14:paraId="42BF88A5" w14:textId="6CD818FF" w:rsidR="00E22F6D" w:rsidRPr="00C83625" w:rsidRDefault="00357387" w:rsidP="00E22F6D">
      <w:pPr>
        <w:spacing w:after="0" w:line="280" w:lineRule="exact"/>
        <w:jc w:val="both"/>
        <w:rPr>
          <w:rFonts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/>
          <w:b/>
          <w:bCs/>
          <w:sz w:val="22"/>
          <w:szCs w:val="22"/>
          <w:lang w:eastAsia="en-US"/>
        </w:rPr>
        <w:t xml:space="preserve">Stališče Agencije za zavarovalni nadzor v zvezi </w:t>
      </w:r>
      <w:r w:rsidR="00A7270C">
        <w:rPr>
          <w:rFonts w:eastAsia="Calibri" w:cs="Arial"/>
          <w:b/>
          <w:bCs/>
          <w:sz w:val="22"/>
          <w:szCs w:val="22"/>
          <w:lang w:eastAsia="en-US"/>
        </w:rPr>
        <w:t>s</w:t>
      </w:r>
      <w:r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="003222F2">
        <w:rPr>
          <w:rFonts w:eastAsia="Calibri" w:cs="Arial"/>
          <w:b/>
          <w:bCs/>
          <w:sz w:val="22"/>
          <w:szCs w:val="22"/>
          <w:lang w:eastAsia="en-US"/>
        </w:rPr>
        <w:t xml:space="preserve">prepoznavanjem, </w:t>
      </w:r>
      <w:r>
        <w:rPr>
          <w:rFonts w:eastAsia="Calibri" w:cs="Arial"/>
          <w:b/>
          <w:bCs/>
          <w:sz w:val="22"/>
          <w:szCs w:val="22"/>
          <w:lang w:eastAsia="en-US"/>
        </w:rPr>
        <w:t xml:space="preserve">opredelitvijo in </w:t>
      </w:r>
      <w:r w:rsidR="003222F2">
        <w:rPr>
          <w:rFonts w:eastAsia="Calibri" w:cs="Arial"/>
          <w:b/>
          <w:bCs/>
          <w:sz w:val="22"/>
          <w:szCs w:val="22"/>
          <w:lang w:eastAsia="en-US"/>
        </w:rPr>
        <w:t>upravljanjem</w:t>
      </w:r>
      <w:r>
        <w:rPr>
          <w:rFonts w:eastAsia="Calibri" w:cs="Arial"/>
          <w:b/>
          <w:bCs/>
          <w:sz w:val="22"/>
          <w:szCs w:val="22"/>
          <w:lang w:eastAsia="en-US"/>
        </w:rPr>
        <w:t xml:space="preserve"> tveganih/kompleksnih naložb</w:t>
      </w:r>
    </w:p>
    <w:p w14:paraId="7BD9CBC8" w14:textId="77777777" w:rsidR="007A44CA" w:rsidRDefault="007A44CA" w:rsidP="00235ABE">
      <w:pPr>
        <w:spacing w:after="0" w:line="300" w:lineRule="exact"/>
        <w:jc w:val="both"/>
        <w:rPr>
          <w:sz w:val="22"/>
          <w:szCs w:val="22"/>
        </w:rPr>
      </w:pPr>
    </w:p>
    <w:p w14:paraId="45028DAE" w14:textId="77777777" w:rsidR="000012C3" w:rsidRDefault="000012C3" w:rsidP="00235ABE">
      <w:pPr>
        <w:spacing w:after="0" w:line="300" w:lineRule="exact"/>
        <w:jc w:val="both"/>
        <w:rPr>
          <w:sz w:val="22"/>
          <w:szCs w:val="22"/>
        </w:rPr>
      </w:pPr>
    </w:p>
    <w:p w14:paraId="0EC671F4" w14:textId="77777777" w:rsidR="00DE0AB5" w:rsidRDefault="00DE0AB5" w:rsidP="00235ABE">
      <w:pPr>
        <w:spacing w:after="0" w:line="300" w:lineRule="exact"/>
      </w:pPr>
    </w:p>
    <w:p w14:paraId="0BE435C9" w14:textId="77777777" w:rsidR="00357387" w:rsidRDefault="00357387" w:rsidP="00235ABE">
      <w:pPr>
        <w:spacing w:after="0" w:line="300" w:lineRule="exact"/>
      </w:pPr>
    </w:p>
    <w:p w14:paraId="4BDFEA34" w14:textId="2FE6055E" w:rsidR="00357387" w:rsidRDefault="00357387" w:rsidP="00B471BD">
      <w:pPr>
        <w:spacing w:after="0" w:line="300" w:lineRule="exact"/>
        <w:jc w:val="both"/>
        <w:rPr>
          <w:rFonts w:cs="Arial"/>
          <w:noProof/>
        </w:rPr>
      </w:pPr>
      <w:r>
        <w:t xml:space="preserve">Agencija za zavarovalni nadzor v okviru opravljanja nadzora nad zavarovalnicami in drugimi subjekti (v nadaljevanju: zavarovalnica), nad katerimi opravlja nadzor </w:t>
      </w:r>
      <w:r w:rsidRPr="00811FB9">
        <w:rPr>
          <w:rFonts w:cs="Arial"/>
        </w:rPr>
        <w:t>v skladu z določili 295. do 301. člena Z</w:t>
      </w:r>
      <w:r w:rsidR="00995FC9">
        <w:rPr>
          <w:rFonts w:cs="Arial"/>
        </w:rPr>
        <w:t xml:space="preserve">akona o zavarovalništvu </w:t>
      </w:r>
      <w:r w:rsidRPr="0080447D">
        <w:t>(Uradni list RS, št. </w:t>
      </w:r>
      <w:r w:rsidR="00995FC9" w:rsidRPr="00995FC9">
        <w:t xml:space="preserve">93/15, 9/19, 102/20, 48/23, 78/23 – ZZVZZ-T in 84/24 – </w:t>
      </w:r>
      <w:proofErr w:type="spellStart"/>
      <w:r w:rsidR="00995FC9" w:rsidRPr="00995FC9">
        <w:t>odl</w:t>
      </w:r>
      <w:proofErr w:type="spellEnd"/>
      <w:r w:rsidR="00995FC9" w:rsidRPr="00995FC9">
        <w:t>. US, v nadaljevanju: ZZavar-1</w:t>
      </w:r>
      <w:r w:rsidRPr="0080447D">
        <w:rPr>
          <w:rFonts w:cs="Arial"/>
          <w:noProof/>
        </w:rPr>
        <w:t>)</w:t>
      </w:r>
      <w:r>
        <w:rPr>
          <w:rFonts w:cs="Arial"/>
          <w:noProof/>
        </w:rPr>
        <w:t xml:space="preserve"> in predloga s strani </w:t>
      </w:r>
      <w:r w:rsidR="00A7270C">
        <w:rPr>
          <w:rFonts w:cs="Arial"/>
          <w:noProof/>
        </w:rPr>
        <w:t>Evropskega organa za zavarovanja in poklicne pokojnine (E</w:t>
      </w:r>
      <w:r>
        <w:rPr>
          <w:rFonts w:cs="Arial"/>
          <w:noProof/>
        </w:rPr>
        <w:t>IOP</w:t>
      </w:r>
      <w:r w:rsidR="00A7270C">
        <w:rPr>
          <w:rFonts w:cs="Arial"/>
          <w:noProof/>
        </w:rPr>
        <w:t>A)</w:t>
      </w:r>
      <w:r>
        <w:rPr>
          <w:rFonts w:cs="Arial"/>
          <w:noProof/>
        </w:rPr>
        <w:t xml:space="preserve"> v okviru strokovnega pregleda načel</w:t>
      </w:r>
      <w:r w:rsidR="00247132">
        <w:rPr>
          <w:rFonts w:cs="Arial"/>
          <w:noProof/>
        </w:rPr>
        <w:t>a</w:t>
      </w:r>
      <w:r>
        <w:rPr>
          <w:rFonts w:cs="Arial"/>
          <w:noProof/>
        </w:rPr>
        <w:t xml:space="preserve"> preudarne osebe podaja stališče in jasna pričakovanja </w:t>
      </w:r>
      <w:r w:rsidR="003222F2">
        <w:rPr>
          <w:rFonts w:cs="Arial"/>
          <w:noProof/>
        </w:rPr>
        <w:t xml:space="preserve">zavarovalnic v zvezi </w:t>
      </w:r>
      <w:r w:rsidR="00A7270C">
        <w:rPr>
          <w:rFonts w:cs="Arial"/>
          <w:noProof/>
        </w:rPr>
        <w:t>s</w:t>
      </w:r>
      <w:r w:rsidR="003222F2">
        <w:rPr>
          <w:rFonts w:cs="Arial"/>
          <w:noProof/>
        </w:rPr>
        <w:t xml:space="preserve"> prepoznavanjem, opredelitvijo in upravljanjem tveganih/kompleksnih naložb v skladu z načelom preudarne osebe.</w:t>
      </w:r>
      <w:r>
        <w:rPr>
          <w:rFonts w:cs="Arial"/>
          <w:noProof/>
        </w:rPr>
        <w:t xml:space="preserve">  </w:t>
      </w:r>
    </w:p>
    <w:p w14:paraId="63434E20" w14:textId="77777777" w:rsidR="003222F2" w:rsidRDefault="003222F2" w:rsidP="00235ABE">
      <w:pPr>
        <w:spacing w:after="0" w:line="300" w:lineRule="exact"/>
        <w:rPr>
          <w:rFonts w:cs="Arial"/>
          <w:noProof/>
        </w:rPr>
      </w:pPr>
    </w:p>
    <w:p w14:paraId="65C0C45E" w14:textId="70C01C4E" w:rsidR="003222F2" w:rsidRDefault="00B471BD" w:rsidP="00B471BD">
      <w:pPr>
        <w:spacing w:after="0" w:line="300" w:lineRule="exact"/>
        <w:jc w:val="both"/>
      </w:pPr>
      <w:r w:rsidRPr="00B471BD">
        <w:rPr>
          <w:rFonts w:cs="Arial"/>
          <w:noProof/>
        </w:rPr>
        <w:t>Direktiva 2009/138/ES Evropskega Parlamenta in Sveta z dne 25. novembra 2009 o začetku opravljanja in opravljanju dejavnosti zavarovanja in pozavarovanja (</w:t>
      </w:r>
      <w:r w:rsidR="00066B36" w:rsidRPr="00066B36">
        <w:rPr>
          <w:rFonts w:cs="Arial"/>
          <w:noProof/>
        </w:rPr>
        <w:t>U</w:t>
      </w:r>
      <w:r w:rsidR="00066B36">
        <w:rPr>
          <w:rFonts w:cs="Arial"/>
          <w:noProof/>
        </w:rPr>
        <w:t xml:space="preserve">radni list Evropske unije </w:t>
      </w:r>
      <w:r w:rsidR="00066B36" w:rsidRPr="00066B36">
        <w:rPr>
          <w:rFonts w:cs="Arial"/>
          <w:noProof/>
        </w:rPr>
        <w:t>L 335</w:t>
      </w:r>
      <w:r w:rsidR="00066B36">
        <w:rPr>
          <w:rFonts w:cs="Arial"/>
          <w:noProof/>
        </w:rPr>
        <w:t xml:space="preserve"> z dne 17. 12. 2009, </w:t>
      </w:r>
      <w:r>
        <w:rPr>
          <w:rFonts w:cs="Arial"/>
          <w:noProof/>
        </w:rPr>
        <w:t xml:space="preserve">v nadaljevanju: </w:t>
      </w:r>
      <w:r w:rsidRPr="00B471BD">
        <w:rPr>
          <w:rFonts w:cs="Arial"/>
          <w:noProof/>
        </w:rPr>
        <w:t>Solventnost II)</w:t>
      </w:r>
      <w:r>
        <w:rPr>
          <w:rFonts w:cs="Arial"/>
          <w:noProof/>
        </w:rPr>
        <w:t xml:space="preserve"> je v </w:t>
      </w:r>
      <w:r w:rsidR="003222F2">
        <w:rPr>
          <w:rFonts w:cs="Arial"/>
          <w:noProof/>
        </w:rPr>
        <w:t>132. člen Direktive uvedel</w:t>
      </w:r>
      <w:r>
        <w:rPr>
          <w:rFonts w:cs="Arial"/>
          <w:noProof/>
        </w:rPr>
        <w:t>a</w:t>
      </w:r>
      <w:r w:rsidR="003222F2">
        <w:rPr>
          <w:rFonts w:cs="Arial"/>
          <w:noProof/>
        </w:rPr>
        <w:t xml:space="preserve"> načelo preudarne osebe</w:t>
      </w:r>
      <w:r>
        <w:rPr>
          <w:rFonts w:cs="Arial"/>
          <w:noProof/>
        </w:rPr>
        <w:t xml:space="preserve"> in</w:t>
      </w:r>
      <w:r w:rsidR="003222F2">
        <w:rPr>
          <w:rFonts w:cs="Arial"/>
          <w:noProof/>
        </w:rPr>
        <w:t xml:space="preserve"> vsebuje določbe kako bi morala podjetja </w:t>
      </w:r>
      <w:r w:rsidR="00066B36">
        <w:rPr>
          <w:rFonts w:cs="Arial"/>
          <w:noProof/>
        </w:rPr>
        <w:t xml:space="preserve">(zavarovalnice in pozavarovalnice) </w:t>
      </w:r>
      <w:r w:rsidR="003222F2">
        <w:rPr>
          <w:rFonts w:cs="Arial"/>
          <w:noProof/>
        </w:rPr>
        <w:t xml:space="preserve">vlagati svoja sredstva. </w:t>
      </w:r>
      <w:r>
        <w:t xml:space="preserve">Solventnost II ne predpisuje konkretnih </w:t>
      </w:r>
      <w:r w:rsidR="003222F2">
        <w:t>omejitev glede naložb, vendar to ne pomeni, da lahko zavarovalnice sprejemajo nepreudarne odločitve o naložbah.</w:t>
      </w:r>
    </w:p>
    <w:p w14:paraId="05BB3218" w14:textId="77777777" w:rsidR="00F461E7" w:rsidRDefault="00F461E7" w:rsidP="00235ABE">
      <w:pPr>
        <w:spacing w:after="0" w:line="300" w:lineRule="exact"/>
      </w:pPr>
    </w:p>
    <w:p w14:paraId="1175AF7F" w14:textId="64F3E70A" w:rsidR="00F461E7" w:rsidRPr="006E65A3" w:rsidRDefault="00F461E7" w:rsidP="00F461E7">
      <w:pPr>
        <w:jc w:val="both"/>
      </w:pPr>
      <w:r>
        <w:t xml:space="preserve">Zavarovalnica naj </w:t>
      </w:r>
      <w:r w:rsidRPr="006E65A3">
        <w:t>vsa sredstva nalaga samo v sredstva in finančne instrumente, katerih tveganja lahko primerno opredeli, meri, spremlja, upravlja, nadzira in o njih poroča ter ustrezno upošteva v svoji oceni solventnostnih potreb</w:t>
      </w:r>
      <w:r>
        <w:t xml:space="preserve">. </w:t>
      </w:r>
      <w:r w:rsidR="00A62A15">
        <w:t xml:space="preserve">Naložena sredstva morajo zagotavljati </w:t>
      </w:r>
      <w:r w:rsidRPr="006E65A3">
        <w:t xml:space="preserve">varnost, kakovost, likvidnost in donosnost njenega celotnega portfelja. </w:t>
      </w:r>
    </w:p>
    <w:p w14:paraId="5F45B5A6" w14:textId="5EF1A1DA" w:rsidR="00F461E7" w:rsidRDefault="00F461E7" w:rsidP="00B471BD">
      <w:pPr>
        <w:spacing w:after="0" w:line="300" w:lineRule="exact"/>
        <w:jc w:val="both"/>
      </w:pPr>
      <w:r>
        <w:t xml:space="preserve">Agencija </w:t>
      </w:r>
      <w:r w:rsidR="004E5AEB">
        <w:t xml:space="preserve">za zavarovalni nadzor </w:t>
      </w:r>
      <w:r w:rsidR="0058162D">
        <w:t>se</w:t>
      </w:r>
      <w:r>
        <w:t xml:space="preserve"> v nadzornih postopkih </w:t>
      </w:r>
      <w:r w:rsidR="0058162D">
        <w:t>na podlagi pomembnih informacij iz različnih virov kot tudi pridobljenih podatkov osredotoča na pomembna trenutna in prihodnja tveganja</w:t>
      </w:r>
      <w:r w:rsidR="00897338">
        <w:t xml:space="preserve"> </w:t>
      </w:r>
      <w:r w:rsidR="0058162D">
        <w:t xml:space="preserve">s katerimi se soočajo zavarovalnice ter prednostno razvršča nadzorne dejavnosti s pomočjo uporabe interno </w:t>
      </w:r>
      <w:r w:rsidR="004E5AEB">
        <w:t>vzpostavljene</w:t>
      </w:r>
      <w:r w:rsidR="0058162D">
        <w:t xml:space="preserve"> metodologije ter kvalitativnih in kvantitativnih indikatorjev. </w:t>
      </w:r>
    </w:p>
    <w:p w14:paraId="2FAA2851" w14:textId="77777777" w:rsidR="004E5AEB" w:rsidRDefault="004E5AEB" w:rsidP="00B471BD">
      <w:pPr>
        <w:spacing w:after="0" w:line="300" w:lineRule="exact"/>
        <w:jc w:val="both"/>
      </w:pPr>
    </w:p>
    <w:p w14:paraId="0CDD3340" w14:textId="334B859C" w:rsidR="004E5AEB" w:rsidRDefault="004E5AEB" w:rsidP="00B471BD">
      <w:pPr>
        <w:spacing w:after="0" w:line="300" w:lineRule="exact"/>
        <w:jc w:val="both"/>
        <w:rPr>
          <w:rFonts w:cs="Arial"/>
          <w:noProof/>
        </w:rPr>
      </w:pPr>
      <w:r>
        <w:rPr>
          <w:rFonts w:cs="Arial"/>
          <w:noProof/>
        </w:rPr>
        <w:t>Agencija za zavarovalni nadzor prepoznava tvegane</w:t>
      </w:r>
      <w:r w:rsidR="00522F02">
        <w:rPr>
          <w:rFonts w:cs="Arial"/>
          <w:noProof/>
        </w:rPr>
        <w:t>/</w:t>
      </w:r>
      <w:r>
        <w:rPr>
          <w:rFonts w:cs="Arial"/>
          <w:noProof/>
        </w:rPr>
        <w:t xml:space="preserve">kompleksne </w:t>
      </w:r>
      <w:r w:rsidR="00522F02">
        <w:rPr>
          <w:rFonts w:cs="Arial"/>
          <w:noProof/>
        </w:rPr>
        <w:t xml:space="preserve">naložbe kot naložbe, ki ne spadajo v klasične naložbene razrede kot so delnice, obveznice, posojila, nepremičnine, depoziti in denarna sredstva. Ne glede na zgoraj omenjeno, pa </w:t>
      </w:r>
      <w:r w:rsidR="00DD6F09">
        <w:rPr>
          <w:rFonts w:cs="Arial"/>
          <w:noProof/>
        </w:rPr>
        <w:t>se</w:t>
      </w:r>
      <w:r w:rsidR="00522F02">
        <w:rPr>
          <w:rFonts w:cs="Arial"/>
          <w:noProof/>
        </w:rPr>
        <w:t xml:space="preserve"> pri opredelitvi </w:t>
      </w:r>
      <w:r w:rsidR="00434267">
        <w:rPr>
          <w:rFonts w:cs="Arial"/>
          <w:noProof/>
        </w:rPr>
        <w:t xml:space="preserve">tvegane/kompleksne naložbe </w:t>
      </w:r>
      <w:r w:rsidR="00DD6F09">
        <w:rPr>
          <w:rFonts w:cs="Arial"/>
          <w:noProof/>
        </w:rPr>
        <w:t xml:space="preserve">hkrati </w:t>
      </w:r>
      <w:r w:rsidR="00522F02">
        <w:rPr>
          <w:rFonts w:cs="Arial"/>
          <w:noProof/>
        </w:rPr>
        <w:t>upošteva</w:t>
      </w:r>
      <w:r w:rsidR="00DD6F09">
        <w:rPr>
          <w:rFonts w:cs="Arial"/>
          <w:noProof/>
        </w:rPr>
        <w:t xml:space="preserve"> tudi</w:t>
      </w:r>
      <w:r w:rsidR="00522F02">
        <w:rPr>
          <w:rFonts w:cs="Arial"/>
          <w:noProof/>
        </w:rPr>
        <w:t xml:space="preserve"> varnost</w:t>
      </w:r>
      <w:r w:rsidR="00434267">
        <w:rPr>
          <w:rFonts w:cs="Arial"/>
          <w:noProof/>
        </w:rPr>
        <w:t xml:space="preserve">, </w:t>
      </w:r>
      <w:r w:rsidR="00522F02">
        <w:rPr>
          <w:rFonts w:cs="Arial"/>
          <w:noProof/>
        </w:rPr>
        <w:t>kvalitet</w:t>
      </w:r>
      <w:r w:rsidR="004326F0">
        <w:rPr>
          <w:rFonts w:cs="Arial"/>
          <w:noProof/>
        </w:rPr>
        <w:t>o</w:t>
      </w:r>
      <w:r w:rsidR="00434267">
        <w:rPr>
          <w:rFonts w:cs="Arial"/>
          <w:noProof/>
        </w:rPr>
        <w:t xml:space="preserve"> (notranja značilnost naložb, kreditna kvaliteta in zunanji dejavniki), likvidnost in donosnost</w:t>
      </w:r>
      <w:r w:rsidR="00522F02">
        <w:rPr>
          <w:rFonts w:cs="Arial"/>
          <w:noProof/>
        </w:rPr>
        <w:t xml:space="preserve"> naložb</w:t>
      </w:r>
      <w:r w:rsidR="00BD79A6">
        <w:rPr>
          <w:rFonts w:cs="Arial"/>
          <w:noProof/>
        </w:rPr>
        <w:t>e</w:t>
      </w:r>
      <w:r w:rsidR="00434267">
        <w:rPr>
          <w:rFonts w:cs="Arial"/>
          <w:noProof/>
        </w:rPr>
        <w:t>.</w:t>
      </w:r>
    </w:p>
    <w:p w14:paraId="3498B51A" w14:textId="77777777" w:rsidR="00B471BD" w:rsidRDefault="00B471BD" w:rsidP="00B471BD">
      <w:pPr>
        <w:spacing w:after="0" w:line="300" w:lineRule="exact"/>
        <w:jc w:val="both"/>
        <w:rPr>
          <w:rFonts w:cs="Arial"/>
          <w:noProof/>
        </w:rPr>
      </w:pPr>
    </w:p>
    <w:p w14:paraId="07535514" w14:textId="6ACAD0E4" w:rsidR="004326F0" w:rsidRDefault="004326F0" w:rsidP="00B471BD">
      <w:pPr>
        <w:spacing w:after="0" w:line="300" w:lineRule="exact"/>
        <w:jc w:val="both"/>
      </w:pPr>
      <w:r>
        <w:t xml:space="preserve">Zaradi specifičnih lastnosti tveganih/kompleksnih naložb je </w:t>
      </w:r>
      <w:r w:rsidR="00434267">
        <w:t>ocena tveganj, ki izhajajo iz takšnih naložb zelo omejena</w:t>
      </w:r>
      <w:r w:rsidR="00BD79A6">
        <w:t>, kar je pogosto posledica pomanjkljivih informacij o posamezni naložbi.</w:t>
      </w:r>
    </w:p>
    <w:p w14:paraId="3ED62572" w14:textId="77777777" w:rsidR="00BD79A6" w:rsidRDefault="00BD79A6" w:rsidP="00B471BD">
      <w:pPr>
        <w:spacing w:after="0" w:line="300" w:lineRule="exact"/>
        <w:jc w:val="both"/>
      </w:pPr>
    </w:p>
    <w:p w14:paraId="714921C2" w14:textId="2EC0DA75" w:rsidR="00BD79A6" w:rsidRPr="003222F2" w:rsidRDefault="00BD79A6" w:rsidP="00B471BD">
      <w:pPr>
        <w:spacing w:after="0" w:line="300" w:lineRule="exact"/>
        <w:jc w:val="both"/>
        <w:rPr>
          <w:rFonts w:cs="Arial"/>
          <w:noProof/>
        </w:rPr>
      </w:pPr>
      <w:r>
        <w:t xml:space="preserve">Agencija za zavarovalni nadzor bo v okviru nadzorniškega pregleda </w:t>
      </w:r>
      <w:r w:rsidR="002A1357">
        <w:t>posebej pozorna na vrste naložb s sledečimi CIC kodami: 5 (strukturirani vrednostni papirji), 4 (kolektivni naložbeni podjemi npr. nepremičninski skladi, alternativni skladi, skladi zasebnega kapitala, infrastrukturni skladi itd.), 3 (lastniški kapital npr. delnice brez bonitetne ocene, delnice brez delujočega trga), 28 (podrejene obveznice)</w:t>
      </w:r>
      <w:r w:rsidR="00F24CD2">
        <w:t xml:space="preserve"> in drugi podobni finančni instrumenti.</w:t>
      </w:r>
      <w:r w:rsidR="00AD1FEF">
        <w:t xml:space="preserve"> </w:t>
      </w:r>
      <w:r w:rsidR="00B471BD">
        <w:t>Agencija za zavarovalni nadzor bo spremljala spremembe na trgu in po potrebi dopolnila/spremenila opredelitev tveganih/kompleksnejših naložb.</w:t>
      </w:r>
    </w:p>
    <w:p w14:paraId="7DE9BF10" w14:textId="77777777" w:rsidR="00357387" w:rsidRDefault="00357387" w:rsidP="00B471BD">
      <w:pPr>
        <w:spacing w:after="0" w:line="300" w:lineRule="exact"/>
        <w:jc w:val="both"/>
      </w:pPr>
    </w:p>
    <w:p w14:paraId="246305C9" w14:textId="2E3703A7" w:rsidR="004E5AEB" w:rsidRDefault="004E5AEB" w:rsidP="00B471BD">
      <w:pPr>
        <w:spacing w:after="0" w:line="300" w:lineRule="exact"/>
        <w:jc w:val="both"/>
      </w:pPr>
      <w:r>
        <w:t xml:space="preserve">Agencija za zavarovalni nadzor </w:t>
      </w:r>
      <w:r w:rsidR="00825EF6">
        <w:t>pričakuje, da ima zavarovalnica</w:t>
      </w:r>
      <w:r w:rsidR="00B60247">
        <w:t xml:space="preserve"> med drugim</w:t>
      </w:r>
      <w:r>
        <w:t>:</w:t>
      </w:r>
    </w:p>
    <w:p w14:paraId="25B1B00D" w14:textId="77777777" w:rsidR="005970C2" w:rsidRDefault="005970C2" w:rsidP="00B471BD">
      <w:pPr>
        <w:spacing w:after="0" w:line="300" w:lineRule="exact"/>
        <w:jc w:val="both"/>
      </w:pPr>
    </w:p>
    <w:p w14:paraId="37A58459" w14:textId="0DD9A04E" w:rsidR="005970C2" w:rsidRDefault="00825EF6" w:rsidP="00B471BD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 xml:space="preserve">Vzpostavljeno primerno </w:t>
      </w:r>
      <w:r w:rsidR="005970C2">
        <w:t xml:space="preserve">naložbeno strategijo in skladnost </w:t>
      </w:r>
      <w:r>
        <w:t xml:space="preserve">le-te </w:t>
      </w:r>
      <w:r w:rsidR="005970C2">
        <w:t>s poslovnim modelom, upoštevaje meje (</w:t>
      </w:r>
      <w:r w:rsidR="00F24CD2">
        <w:t xml:space="preserve">ang: </w:t>
      </w:r>
      <w:r w:rsidR="005970C2">
        <w:t>risk appettite) in sprejemljivost tveganj (</w:t>
      </w:r>
      <w:r w:rsidR="00F24CD2">
        <w:t xml:space="preserve">ang: </w:t>
      </w:r>
      <w:r w:rsidR="005970C2">
        <w:t>risk tolerance)</w:t>
      </w:r>
      <w:r>
        <w:t>.</w:t>
      </w:r>
      <w:r w:rsidR="007646D4">
        <w:t xml:space="preserve"> </w:t>
      </w:r>
    </w:p>
    <w:p w14:paraId="0C01BCE0" w14:textId="09C17837" w:rsidR="007646D4" w:rsidRDefault="00825EF6" w:rsidP="00B471BD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 xml:space="preserve">Vzpostavljen </w:t>
      </w:r>
      <w:r w:rsidR="007646D4">
        <w:t xml:space="preserve">naložbeni proces in sprejemanje investicijskih odločitev (zavarovalnica mora zagotoviti skladnost naložbenih </w:t>
      </w:r>
      <w:r w:rsidR="007646D4" w:rsidRPr="007646D4">
        <w:t>odločitev z naložbeno politiko</w:t>
      </w:r>
      <w:r w:rsidR="007646D4">
        <w:t>, transparentnost naložbenih odločitev</w:t>
      </w:r>
      <w:r w:rsidR="00065997">
        <w:t xml:space="preserve"> (način ocenjevanja naložbenih priložnosti, način ovrednotenja tveganj naložbe)</w:t>
      </w:r>
      <w:r w:rsidR="007646D4">
        <w:t>, sledljivost sprejetih naložbenih odločitev</w:t>
      </w:r>
      <w:r w:rsidR="00C600CA">
        <w:t>, notranje kontrole</w:t>
      </w:r>
      <w:r w:rsidR="007646D4">
        <w:t xml:space="preserve"> itd.)</w:t>
      </w:r>
      <w:r w:rsidR="00C600CA">
        <w:t>.</w:t>
      </w:r>
    </w:p>
    <w:p w14:paraId="6F2DF1A6" w14:textId="423E757F" w:rsidR="005970C2" w:rsidRDefault="00247132" w:rsidP="00B471BD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>Usposobljeno o</w:t>
      </w:r>
      <w:r w:rsidR="00825EF6">
        <w:t>sebje, ki izvaja naložbeno dejavnost</w:t>
      </w:r>
      <w:r>
        <w:t xml:space="preserve"> z </w:t>
      </w:r>
      <w:r w:rsidR="007646D4" w:rsidRPr="007646D4">
        <w:t>strokovn</w:t>
      </w:r>
      <w:r>
        <w:t>im</w:t>
      </w:r>
      <w:r w:rsidR="007646D4" w:rsidRPr="007646D4">
        <w:t xml:space="preserve"> znanj</w:t>
      </w:r>
      <w:r>
        <w:t>em</w:t>
      </w:r>
      <w:r w:rsidR="007646D4" w:rsidRPr="007646D4">
        <w:t xml:space="preserve"> in osebno integriteto</w:t>
      </w:r>
      <w:r w:rsidR="00C600CA">
        <w:t>.</w:t>
      </w:r>
      <w:r w:rsidR="007646D4">
        <w:t xml:space="preserve"> </w:t>
      </w:r>
    </w:p>
    <w:p w14:paraId="11BAA31F" w14:textId="34DDCAAB" w:rsidR="004E5AEB" w:rsidRDefault="00825EF6" w:rsidP="00B471BD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>Vzpostavljene mehanizme za obvladovanje potencialnega konflikta interesov</w:t>
      </w:r>
      <w:r w:rsidR="00C600CA">
        <w:t>.</w:t>
      </w:r>
    </w:p>
    <w:p w14:paraId="599492BB" w14:textId="5E6AF38D" w:rsidR="004E5AEB" w:rsidRDefault="00C600CA" w:rsidP="00B471BD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 xml:space="preserve">Vzpostavljeno </w:t>
      </w:r>
      <w:r w:rsidR="00247132">
        <w:t xml:space="preserve">ustrezno vrednotenje in </w:t>
      </w:r>
      <w:r>
        <w:t>primerno poročanje</w:t>
      </w:r>
      <w:r w:rsidR="00247132">
        <w:t>.</w:t>
      </w:r>
    </w:p>
    <w:p w14:paraId="29C4CFE3" w14:textId="77777777" w:rsidR="004E5AEB" w:rsidRDefault="004E5AEB" w:rsidP="00065997">
      <w:pPr>
        <w:pStyle w:val="ListParagraph"/>
        <w:spacing w:after="0" w:line="300" w:lineRule="exact"/>
      </w:pPr>
    </w:p>
    <w:p w14:paraId="6A31A1B5" w14:textId="77777777" w:rsidR="004E5AEB" w:rsidRDefault="004E5AEB" w:rsidP="004E5AEB">
      <w:pPr>
        <w:spacing w:after="0" w:line="300" w:lineRule="exact"/>
      </w:pPr>
    </w:p>
    <w:p w14:paraId="627BCB41" w14:textId="77777777" w:rsidR="00755CF3" w:rsidRDefault="00755CF3" w:rsidP="00235ABE">
      <w:pPr>
        <w:spacing w:after="0" w:line="300" w:lineRule="exact"/>
      </w:pPr>
    </w:p>
    <w:p w14:paraId="7D5DA8D0" w14:textId="77777777" w:rsidR="00755CF3" w:rsidRDefault="00755CF3" w:rsidP="00235ABE">
      <w:pPr>
        <w:spacing w:after="0" w:line="300" w:lineRule="exact"/>
      </w:pPr>
    </w:p>
    <w:p w14:paraId="73C9DC4A" w14:textId="77777777" w:rsidR="00755CF3" w:rsidRDefault="00755CF3" w:rsidP="00235ABE">
      <w:pPr>
        <w:spacing w:after="0" w:line="300" w:lineRule="exact"/>
      </w:pPr>
    </w:p>
    <w:p w14:paraId="6E0E52FD" w14:textId="1F9CA44A" w:rsidR="00DE0AB5" w:rsidRPr="00BF4D44" w:rsidRDefault="00DE0AB5" w:rsidP="00DE0AB5">
      <w:pPr>
        <w:spacing w:after="0" w:line="300" w:lineRule="exact"/>
        <w:ind w:left="6480"/>
        <w:rPr>
          <w:b/>
          <w:bCs/>
        </w:rPr>
      </w:pPr>
      <w:r>
        <w:t xml:space="preserve">  </w:t>
      </w:r>
      <w:r w:rsidR="00C75008">
        <w:t xml:space="preserve">   </w:t>
      </w:r>
      <w:r w:rsidR="007A44CA" w:rsidRPr="00BF4D44">
        <w:rPr>
          <w:b/>
          <w:bCs/>
        </w:rPr>
        <w:t>m</w:t>
      </w:r>
      <w:r w:rsidR="00CE62E6" w:rsidRPr="00BF4D44">
        <w:rPr>
          <w:b/>
          <w:bCs/>
        </w:rPr>
        <w:t>ag</w:t>
      </w:r>
      <w:r w:rsidR="007A44CA" w:rsidRPr="00BF4D44">
        <w:rPr>
          <w:b/>
          <w:bCs/>
        </w:rPr>
        <w:t>.</w:t>
      </w:r>
      <w:r w:rsidR="00CE62E6" w:rsidRPr="00BF4D44">
        <w:rPr>
          <w:b/>
          <w:bCs/>
        </w:rPr>
        <w:t xml:space="preserve"> Gorazd Čibej</w:t>
      </w:r>
    </w:p>
    <w:p w14:paraId="36929A57" w14:textId="5C7901C7" w:rsidR="00DE0AB5" w:rsidRPr="00BF4D44" w:rsidRDefault="00DE0AB5" w:rsidP="00DE0AB5">
      <w:pPr>
        <w:spacing w:after="0" w:line="30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62E6">
        <w:t xml:space="preserve">           </w:t>
      </w:r>
      <w:r w:rsidRPr="00BF4D44">
        <w:t>direktor</w:t>
      </w:r>
    </w:p>
    <w:p w14:paraId="3137BAC5" w14:textId="77777777" w:rsidR="00DE0AB5" w:rsidRDefault="00DE0AB5" w:rsidP="00235ABE">
      <w:pPr>
        <w:spacing w:after="0" w:line="300" w:lineRule="exact"/>
      </w:pPr>
    </w:p>
    <w:p w14:paraId="6F8CD3A9" w14:textId="36D62341" w:rsidR="00E8046A" w:rsidRPr="00DB0F34" w:rsidRDefault="00357387" w:rsidP="00E8046A">
      <w:pPr>
        <w:spacing w:after="0" w:line="300" w:lineRule="exact"/>
        <w:contextualSpacing/>
        <w:jc w:val="both"/>
        <w:rPr>
          <w:rFonts w:cs="Arial"/>
        </w:rPr>
      </w:pPr>
      <w:r>
        <w:rPr>
          <w:rFonts w:cs="Arial"/>
        </w:rPr>
        <w:t>Poslano</w:t>
      </w:r>
      <w:r w:rsidR="00E8046A" w:rsidRPr="00DB0F34">
        <w:rPr>
          <w:rFonts w:cs="Arial"/>
        </w:rPr>
        <w:t>:</w:t>
      </w:r>
    </w:p>
    <w:p w14:paraId="5809AC98" w14:textId="1E71FD71" w:rsidR="005A6FBE" w:rsidRPr="00B01EDA" w:rsidRDefault="00357387" w:rsidP="005A6FBE">
      <w:pPr>
        <w:numPr>
          <w:ilvl w:val="0"/>
          <w:numId w:val="13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za objavo na internetni strani Agencije</w:t>
      </w:r>
    </w:p>
    <w:p w14:paraId="1F4DD8DA" w14:textId="387ACA26" w:rsidR="00E8046A" w:rsidRPr="005271E5" w:rsidRDefault="00357387" w:rsidP="00E8046A">
      <w:pPr>
        <w:pStyle w:val="ListParagraph"/>
        <w:numPr>
          <w:ilvl w:val="0"/>
          <w:numId w:val="13"/>
        </w:numPr>
        <w:spacing w:after="0" w:line="300" w:lineRule="exact"/>
        <w:jc w:val="both"/>
        <w:rPr>
          <w:szCs w:val="20"/>
        </w:rPr>
      </w:pPr>
      <w:r>
        <w:rPr>
          <w:rFonts w:cs="Trebuchet MS"/>
        </w:rPr>
        <w:t>interni arhiv Agencije</w:t>
      </w:r>
    </w:p>
    <w:sectPr w:rsidR="00E8046A" w:rsidRPr="005271E5" w:rsidSect="00C576DB">
      <w:headerReference w:type="default" r:id="rId10"/>
      <w:footerReference w:type="default" r:id="rId11"/>
      <w:type w:val="continuous"/>
      <w:pgSz w:w="11907" w:h="16840"/>
      <w:pgMar w:top="1418" w:right="1134" w:bottom="1418" w:left="1134" w:header="1134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9C9F0" w14:textId="77777777" w:rsidR="00FC6971" w:rsidRDefault="00FC6971">
      <w:pPr>
        <w:spacing w:after="0" w:line="240" w:lineRule="auto"/>
      </w:pPr>
      <w:r>
        <w:separator/>
      </w:r>
    </w:p>
  </w:endnote>
  <w:endnote w:type="continuationSeparator" w:id="0">
    <w:p w14:paraId="35B3517F" w14:textId="77777777" w:rsidR="00FC6971" w:rsidRDefault="00FC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INCE-Light">
    <w:altName w:val="Century"/>
    <w:charset w:val="EE"/>
    <w:family w:val="auto"/>
    <w:pitch w:val="variable"/>
    <w:sig w:usb0="80000027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EC1B" w14:textId="77777777" w:rsidR="00E52AFE" w:rsidRDefault="00E52AFE">
    <w:pPr>
      <w:pStyle w:val="Footer"/>
      <w:tabs>
        <w:tab w:val="left" w:pos="4040"/>
        <w:tab w:val="center" w:pos="4819"/>
      </w:tabs>
      <w:rPr>
        <w:noProof/>
      </w:rPr>
    </w:pPr>
    <w:r>
      <w:tab/>
    </w:r>
    <w:r>
      <w:tab/>
    </w:r>
    <w:r>
      <w:tab/>
    </w:r>
  </w:p>
  <w:p w14:paraId="24AE95A9" w14:textId="6F135D20" w:rsidR="00E52AFE" w:rsidRDefault="00C75008">
    <w:pPr>
      <w:framePr w:hSpace="180" w:wrap="auto" w:vAnchor="text" w:hAnchor="text" w:x="3234" w:y="88"/>
      <w:spacing w:after="0" w:line="240" w:lineRule="auto"/>
      <w:rPr>
        <w:noProof/>
      </w:rPr>
    </w:pPr>
    <w:r>
      <w:rPr>
        <w:noProof/>
      </w:rPr>
      <w:drawing>
        <wp:inline distT="0" distB="0" distL="0" distR="0" wp14:anchorId="0943BDE8" wp14:editId="38A478B7">
          <wp:extent cx="2228850" cy="88900"/>
          <wp:effectExtent l="0" t="0" r="0" b="6350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8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B043AB" w14:textId="77777777" w:rsidR="00E52AFE" w:rsidRDefault="00E52AFE">
    <w:pPr>
      <w:pStyle w:val="Footer"/>
      <w:tabs>
        <w:tab w:val="left" w:pos="4040"/>
        <w:tab w:val="center" w:pos="481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B2BA" w14:textId="77777777" w:rsidR="00E52AFE" w:rsidRDefault="00E52AFE">
    <w:pPr>
      <w:pStyle w:val="Footer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EEB2D" w14:textId="77777777" w:rsidR="00FC6971" w:rsidRDefault="00FC6971">
      <w:pPr>
        <w:spacing w:after="0" w:line="240" w:lineRule="auto"/>
      </w:pPr>
      <w:r>
        <w:separator/>
      </w:r>
    </w:p>
  </w:footnote>
  <w:footnote w:type="continuationSeparator" w:id="0">
    <w:p w14:paraId="4B9398DD" w14:textId="77777777" w:rsidR="00FC6971" w:rsidRDefault="00FC6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A394" w14:textId="4E4E1978" w:rsidR="00E52AFE" w:rsidRDefault="00C75008">
    <w:pPr>
      <w:pStyle w:val="Header"/>
      <w:spacing w:line="276" w:lineRule="atLeast"/>
      <w:rPr>
        <w:rFonts w:ascii="DINCE-Light" w:hAnsi="DINCE-Light"/>
        <w:sz w:val="15"/>
        <w:szCs w:val="15"/>
      </w:rPr>
    </w:pPr>
    <w:r>
      <w:rPr>
        <w:rFonts w:ascii="DINCE-Light" w:hAnsi="DINCE-Light"/>
        <w:noProof/>
        <w:sz w:val="15"/>
        <w:szCs w:val="15"/>
      </w:rPr>
      <w:drawing>
        <wp:inline distT="0" distB="0" distL="0" distR="0" wp14:anchorId="6E352E72" wp14:editId="13CB1E21">
          <wp:extent cx="6064250" cy="469900"/>
          <wp:effectExtent l="0" t="0" r="0" b="6350"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F366" w14:textId="77777777" w:rsidR="00E52AFE" w:rsidRDefault="00E52AFE">
    <w:pPr>
      <w:pStyle w:val="Header"/>
      <w:spacing w:line="276" w:lineRule="atLeast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98C"/>
    <w:multiLevelType w:val="hybridMultilevel"/>
    <w:tmpl w:val="CB842ED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5234F0"/>
    <w:multiLevelType w:val="hybridMultilevel"/>
    <w:tmpl w:val="1E3AF76A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94110"/>
    <w:multiLevelType w:val="hybridMultilevel"/>
    <w:tmpl w:val="8E40B900"/>
    <w:lvl w:ilvl="0" w:tplc="4B3A3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B07C5"/>
    <w:multiLevelType w:val="hybridMultilevel"/>
    <w:tmpl w:val="61429BD8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FB21B9"/>
    <w:multiLevelType w:val="hybridMultilevel"/>
    <w:tmpl w:val="EEA00D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8F7DE2"/>
    <w:multiLevelType w:val="hybridMultilevel"/>
    <w:tmpl w:val="372608AA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052BEB"/>
    <w:multiLevelType w:val="hybridMultilevel"/>
    <w:tmpl w:val="32D23110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72BF3"/>
    <w:multiLevelType w:val="hybridMultilevel"/>
    <w:tmpl w:val="6ABE8EC6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A3C78"/>
    <w:multiLevelType w:val="hybridMultilevel"/>
    <w:tmpl w:val="76680C9A"/>
    <w:lvl w:ilvl="0" w:tplc="102260E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rebuchet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6532A"/>
    <w:multiLevelType w:val="hybridMultilevel"/>
    <w:tmpl w:val="5D224CDC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E2963"/>
    <w:multiLevelType w:val="hybridMultilevel"/>
    <w:tmpl w:val="E2F4686C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E5AA9"/>
    <w:multiLevelType w:val="hybridMultilevel"/>
    <w:tmpl w:val="81CE5FC6"/>
    <w:lvl w:ilvl="0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440F9E"/>
    <w:multiLevelType w:val="hybridMultilevel"/>
    <w:tmpl w:val="CA92B944"/>
    <w:lvl w:ilvl="0" w:tplc="F18C15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9782C"/>
    <w:multiLevelType w:val="hybridMultilevel"/>
    <w:tmpl w:val="FF8E8F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4634A"/>
    <w:multiLevelType w:val="hybridMultilevel"/>
    <w:tmpl w:val="386ACD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983967">
    <w:abstractNumId w:val="1"/>
  </w:num>
  <w:num w:numId="2" w16cid:durableId="532886935">
    <w:abstractNumId w:val="7"/>
  </w:num>
  <w:num w:numId="3" w16cid:durableId="717095996">
    <w:abstractNumId w:val="10"/>
  </w:num>
  <w:num w:numId="4" w16cid:durableId="590118412">
    <w:abstractNumId w:val="6"/>
  </w:num>
  <w:num w:numId="5" w16cid:durableId="1581863860">
    <w:abstractNumId w:val="9"/>
  </w:num>
  <w:num w:numId="6" w16cid:durableId="1511289392">
    <w:abstractNumId w:val="5"/>
  </w:num>
  <w:num w:numId="7" w16cid:durableId="1591548340">
    <w:abstractNumId w:val="3"/>
  </w:num>
  <w:num w:numId="8" w16cid:durableId="1322197200">
    <w:abstractNumId w:val="0"/>
  </w:num>
  <w:num w:numId="9" w16cid:durableId="2012248295">
    <w:abstractNumId w:val="4"/>
  </w:num>
  <w:num w:numId="10" w16cid:durableId="5139038">
    <w:abstractNumId w:val="13"/>
  </w:num>
  <w:num w:numId="11" w16cid:durableId="1893733575">
    <w:abstractNumId w:val="8"/>
  </w:num>
  <w:num w:numId="12" w16cid:durableId="1161653592">
    <w:abstractNumId w:val="11"/>
  </w:num>
  <w:num w:numId="13" w16cid:durableId="1836796381">
    <w:abstractNumId w:val="2"/>
  </w:num>
  <w:num w:numId="14" w16cid:durableId="46688551">
    <w:abstractNumId w:val="12"/>
  </w:num>
  <w:num w:numId="15" w16cid:durableId="5819851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38"/>
    <w:rsid w:val="000012C3"/>
    <w:rsid w:val="00005EF5"/>
    <w:rsid w:val="000060C8"/>
    <w:rsid w:val="000234E8"/>
    <w:rsid w:val="0002547D"/>
    <w:rsid w:val="000275F1"/>
    <w:rsid w:val="0003473B"/>
    <w:rsid w:val="00037F38"/>
    <w:rsid w:val="00052DCF"/>
    <w:rsid w:val="00056FE2"/>
    <w:rsid w:val="0005756E"/>
    <w:rsid w:val="00065997"/>
    <w:rsid w:val="00066B36"/>
    <w:rsid w:val="000722BC"/>
    <w:rsid w:val="0007396C"/>
    <w:rsid w:val="00075C1E"/>
    <w:rsid w:val="00086782"/>
    <w:rsid w:val="00087F27"/>
    <w:rsid w:val="000A2A3B"/>
    <w:rsid w:val="000A7F92"/>
    <w:rsid w:val="000D1C38"/>
    <w:rsid w:val="000E3182"/>
    <w:rsid w:val="000F775E"/>
    <w:rsid w:val="00100154"/>
    <w:rsid w:val="00103B64"/>
    <w:rsid w:val="001054B0"/>
    <w:rsid w:val="00113246"/>
    <w:rsid w:val="001173CC"/>
    <w:rsid w:val="00127E41"/>
    <w:rsid w:val="00133DCE"/>
    <w:rsid w:val="0013448B"/>
    <w:rsid w:val="00142E40"/>
    <w:rsid w:val="001510B8"/>
    <w:rsid w:val="00156D33"/>
    <w:rsid w:val="00156E5C"/>
    <w:rsid w:val="001700A4"/>
    <w:rsid w:val="00170228"/>
    <w:rsid w:val="0017240E"/>
    <w:rsid w:val="001828B8"/>
    <w:rsid w:val="00190268"/>
    <w:rsid w:val="00194C55"/>
    <w:rsid w:val="001A4971"/>
    <w:rsid w:val="001A6533"/>
    <w:rsid w:val="001B540C"/>
    <w:rsid w:val="001C1F4E"/>
    <w:rsid w:val="001C3C3C"/>
    <w:rsid w:val="001D4477"/>
    <w:rsid w:val="001D6CE1"/>
    <w:rsid w:val="001E4DE8"/>
    <w:rsid w:val="001E6C90"/>
    <w:rsid w:val="001F1B2F"/>
    <w:rsid w:val="001F3A4D"/>
    <w:rsid w:val="002010BF"/>
    <w:rsid w:val="00211428"/>
    <w:rsid w:val="0021789B"/>
    <w:rsid w:val="002210A5"/>
    <w:rsid w:val="00235ABE"/>
    <w:rsid w:val="00241065"/>
    <w:rsid w:val="002410B1"/>
    <w:rsid w:val="00243044"/>
    <w:rsid w:val="00243819"/>
    <w:rsid w:val="002445AE"/>
    <w:rsid w:val="002468A7"/>
    <w:rsid w:val="00247132"/>
    <w:rsid w:val="002505DB"/>
    <w:rsid w:val="00251918"/>
    <w:rsid w:val="002546FA"/>
    <w:rsid w:val="0025604F"/>
    <w:rsid w:val="00256954"/>
    <w:rsid w:val="002616F1"/>
    <w:rsid w:val="00266CB6"/>
    <w:rsid w:val="0028225E"/>
    <w:rsid w:val="0029185E"/>
    <w:rsid w:val="00291B2D"/>
    <w:rsid w:val="00294CB5"/>
    <w:rsid w:val="00297BE4"/>
    <w:rsid w:val="002A1357"/>
    <w:rsid w:val="002A1960"/>
    <w:rsid w:val="002A4080"/>
    <w:rsid w:val="002A511B"/>
    <w:rsid w:val="002A61BB"/>
    <w:rsid w:val="002A791E"/>
    <w:rsid w:val="002B0D18"/>
    <w:rsid w:val="002E09D9"/>
    <w:rsid w:val="002E2B2D"/>
    <w:rsid w:val="002E6135"/>
    <w:rsid w:val="002F04AD"/>
    <w:rsid w:val="002F4326"/>
    <w:rsid w:val="002F5B5C"/>
    <w:rsid w:val="0030341D"/>
    <w:rsid w:val="003119FD"/>
    <w:rsid w:val="00312BB0"/>
    <w:rsid w:val="003147D4"/>
    <w:rsid w:val="003214D3"/>
    <w:rsid w:val="003222F2"/>
    <w:rsid w:val="0032344B"/>
    <w:rsid w:val="003333DA"/>
    <w:rsid w:val="003460B9"/>
    <w:rsid w:val="00346125"/>
    <w:rsid w:val="00352418"/>
    <w:rsid w:val="00357387"/>
    <w:rsid w:val="00360C16"/>
    <w:rsid w:val="00371285"/>
    <w:rsid w:val="00376336"/>
    <w:rsid w:val="0038417A"/>
    <w:rsid w:val="00394ACA"/>
    <w:rsid w:val="003970C1"/>
    <w:rsid w:val="003A030D"/>
    <w:rsid w:val="003A2158"/>
    <w:rsid w:val="003A5D55"/>
    <w:rsid w:val="003B172C"/>
    <w:rsid w:val="003C08D3"/>
    <w:rsid w:val="003C4A14"/>
    <w:rsid w:val="003C67E1"/>
    <w:rsid w:val="003D6388"/>
    <w:rsid w:val="003E5849"/>
    <w:rsid w:val="003F0EEB"/>
    <w:rsid w:val="00404ABC"/>
    <w:rsid w:val="00410338"/>
    <w:rsid w:val="0042556C"/>
    <w:rsid w:val="004326F0"/>
    <w:rsid w:val="00434267"/>
    <w:rsid w:val="00445018"/>
    <w:rsid w:val="004560BE"/>
    <w:rsid w:val="004645E7"/>
    <w:rsid w:val="00466582"/>
    <w:rsid w:val="00484058"/>
    <w:rsid w:val="004849EB"/>
    <w:rsid w:val="0049035E"/>
    <w:rsid w:val="00490B85"/>
    <w:rsid w:val="004A0C6A"/>
    <w:rsid w:val="004A2DD3"/>
    <w:rsid w:val="004B0A06"/>
    <w:rsid w:val="004B27BF"/>
    <w:rsid w:val="004C0D7D"/>
    <w:rsid w:val="004C0DBE"/>
    <w:rsid w:val="004C723A"/>
    <w:rsid w:val="004D0D45"/>
    <w:rsid w:val="004E1871"/>
    <w:rsid w:val="004E1E93"/>
    <w:rsid w:val="004E4835"/>
    <w:rsid w:val="004E5AEB"/>
    <w:rsid w:val="004F2C4E"/>
    <w:rsid w:val="004F2EE6"/>
    <w:rsid w:val="004F3776"/>
    <w:rsid w:val="00501904"/>
    <w:rsid w:val="0050407B"/>
    <w:rsid w:val="00510173"/>
    <w:rsid w:val="00510BBE"/>
    <w:rsid w:val="00522F02"/>
    <w:rsid w:val="0053052A"/>
    <w:rsid w:val="00531C4C"/>
    <w:rsid w:val="00536899"/>
    <w:rsid w:val="005378C3"/>
    <w:rsid w:val="005403B1"/>
    <w:rsid w:val="00540F28"/>
    <w:rsid w:val="005420AA"/>
    <w:rsid w:val="005538B9"/>
    <w:rsid w:val="005548FF"/>
    <w:rsid w:val="005811C6"/>
    <w:rsid w:val="0058162D"/>
    <w:rsid w:val="005829B3"/>
    <w:rsid w:val="00582E79"/>
    <w:rsid w:val="005876EF"/>
    <w:rsid w:val="005970C2"/>
    <w:rsid w:val="005A344D"/>
    <w:rsid w:val="005A3B54"/>
    <w:rsid w:val="005A68C7"/>
    <w:rsid w:val="005A6FBE"/>
    <w:rsid w:val="005B2E53"/>
    <w:rsid w:val="005C14D2"/>
    <w:rsid w:val="005C3FBF"/>
    <w:rsid w:val="005C5F46"/>
    <w:rsid w:val="005E4E0B"/>
    <w:rsid w:val="005E5503"/>
    <w:rsid w:val="005F0204"/>
    <w:rsid w:val="005F0734"/>
    <w:rsid w:val="005F30E6"/>
    <w:rsid w:val="005F3EE5"/>
    <w:rsid w:val="005F5DE9"/>
    <w:rsid w:val="005F7608"/>
    <w:rsid w:val="00601163"/>
    <w:rsid w:val="00613D9A"/>
    <w:rsid w:val="00615885"/>
    <w:rsid w:val="00624FAA"/>
    <w:rsid w:val="00646B43"/>
    <w:rsid w:val="0064720B"/>
    <w:rsid w:val="00651D11"/>
    <w:rsid w:val="00651D71"/>
    <w:rsid w:val="00655D5C"/>
    <w:rsid w:val="006667BC"/>
    <w:rsid w:val="006673FC"/>
    <w:rsid w:val="0067131C"/>
    <w:rsid w:val="006733AD"/>
    <w:rsid w:val="006804FF"/>
    <w:rsid w:val="00681BC3"/>
    <w:rsid w:val="0068224E"/>
    <w:rsid w:val="0068246D"/>
    <w:rsid w:val="00690B0A"/>
    <w:rsid w:val="0069155F"/>
    <w:rsid w:val="006930DD"/>
    <w:rsid w:val="006946FD"/>
    <w:rsid w:val="0069552E"/>
    <w:rsid w:val="00696AA0"/>
    <w:rsid w:val="00696EE2"/>
    <w:rsid w:val="006C7162"/>
    <w:rsid w:val="006D0B6A"/>
    <w:rsid w:val="006D33F8"/>
    <w:rsid w:val="006D54D4"/>
    <w:rsid w:val="006E1E10"/>
    <w:rsid w:val="006E5B66"/>
    <w:rsid w:val="006F1B94"/>
    <w:rsid w:val="006F2354"/>
    <w:rsid w:val="006F429B"/>
    <w:rsid w:val="0070379A"/>
    <w:rsid w:val="00706E04"/>
    <w:rsid w:val="00707CA1"/>
    <w:rsid w:val="0071505A"/>
    <w:rsid w:val="0072692E"/>
    <w:rsid w:val="0072731B"/>
    <w:rsid w:val="00733361"/>
    <w:rsid w:val="00743225"/>
    <w:rsid w:val="00755CF3"/>
    <w:rsid w:val="00757997"/>
    <w:rsid w:val="007646D4"/>
    <w:rsid w:val="0077320D"/>
    <w:rsid w:val="007741F5"/>
    <w:rsid w:val="007825CD"/>
    <w:rsid w:val="00783E84"/>
    <w:rsid w:val="0078668E"/>
    <w:rsid w:val="00794FB7"/>
    <w:rsid w:val="007A44CA"/>
    <w:rsid w:val="007C3360"/>
    <w:rsid w:val="007D4E93"/>
    <w:rsid w:val="007D5EBA"/>
    <w:rsid w:val="007E1A1D"/>
    <w:rsid w:val="007E22DF"/>
    <w:rsid w:val="007E3DED"/>
    <w:rsid w:val="007E5C0C"/>
    <w:rsid w:val="007F00CF"/>
    <w:rsid w:val="007F02D1"/>
    <w:rsid w:val="007F13BB"/>
    <w:rsid w:val="007F1E31"/>
    <w:rsid w:val="007F66EB"/>
    <w:rsid w:val="007F7CD8"/>
    <w:rsid w:val="0081689F"/>
    <w:rsid w:val="00821BB5"/>
    <w:rsid w:val="00825EF6"/>
    <w:rsid w:val="0083233B"/>
    <w:rsid w:val="0083340B"/>
    <w:rsid w:val="00840C79"/>
    <w:rsid w:val="008441C3"/>
    <w:rsid w:val="00847775"/>
    <w:rsid w:val="008521B3"/>
    <w:rsid w:val="0085232E"/>
    <w:rsid w:val="008526AF"/>
    <w:rsid w:val="00853DB3"/>
    <w:rsid w:val="0086494A"/>
    <w:rsid w:val="008731A8"/>
    <w:rsid w:val="00896E01"/>
    <w:rsid w:val="00897338"/>
    <w:rsid w:val="008A005E"/>
    <w:rsid w:val="008A7AC2"/>
    <w:rsid w:val="008B100F"/>
    <w:rsid w:val="008B4345"/>
    <w:rsid w:val="008C03FC"/>
    <w:rsid w:val="008C0A9C"/>
    <w:rsid w:val="008C3F8C"/>
    <w:rsid w:val="008C4F49"/>
    <w:rsid w:val="008D5867"/>
    <w:rsid w:val="008E4A3F"/>
    <w:rsid w:val="008F2C55"/>
    <w:rsid w:val="008F715C"/>
    <w:rsid w:val="00902C1E"/>
    <w:rsid w:val="00903B3A"/>
    <w:rsid w:val="009062B8"/>
    <w:rsid w:val="00921538"/>
    <w:rsid w:val="0092667E"/>
    <w:rsid w:val="00926F2F"/>
    <w:rsid w:val="0093217C"/>
    <w:rsid w:val="009341C0"/>
    <w:rsid w:val="00940346"/>
    <w:rsid w:val="009446FE"/>
    <w:rsid w:val="00955160"/>
    <w:rsid w:val="009555C8"/>
    <w:rsid w:val="00964D48"/>
    <w:rsid w:val="00966B4E"/>
    <w:rsid w:val="009673C1"/>
    <w:rsid w:val="00971A26"/>
    <w:rsid w:val="0098018F"/>
    <w:rsid w:val="009820B8"/>
    <w:rsid w:val="0098224E"/>
    <w:rsid w:val="00982DEF"/>
    <w:rsid w:val="0098319F"/>
    <w:rsid w:val="00985A36"/>
    <w:rsid w:val="00985BD3"/>
    <w:rsid w:val="00990352"/>
    <w:rsid w:val="00995326"/>
    <w:rsid w:val="00995AF2"/>
    <w:rsid w:val="00995FC9"/>
    <w:rsid w:val="009A2F69"/>
    <w:rsid w:val="009B6896"/>
    <w:rsid w:val="009C038D"/>
    <w:rsid w:val="009C2FD1"/>
    <w:rsid w:val="009D6BFC"/>
    <w:rsid w:val="009E4FFA"/>
    <w:rsid w:val="009F0344"/>
    <w:rsid w:val="009F647F"/>
    <w:rsid w:val="00A10204"/>
    <w:rsid w:val="00A14506"/>
    <w:rsid w:val="00A160C6"/>
    <w:rsid w:val="00A22B1C"/>
    <w:rsid w:val="00A32B6C"/>
    <w:rsid w:val="00A33E52"/>
    <w:rsid w:val="00A35A70"/>
    <w:rsid w:val="00A406E9"/>
    <w:rsid w:val="00A43ABA"/>
    <w:rsid w:val="00A44566"/>
    <w:rsid w:val="00A57692"/>
    <w:rsid w:val="00A577E7"/>
    <w:rsid w:val="00A57CC3"/>
    <w:rsid w:val="00A62A15"/>
    <w:rsid w:val="00A638B3"/>
    <w:rsid w:val="00A667C1"/>
    <w:rsid w:val="00A7270C"/>
    <w:rsid w:val="00A846DD"/>
    <w:rsid w:val="00A95FDA"/>
    <w:rsid w:val="00AA09BB"/>
    <w:rsid w:val="00AB77EC"/>
    <w:rsid w:val="00AC0BD3"/>
    <w:rsid w:val="00AD065C"/>
    <w:rsid w:val="00AD1FEF"/>
    <w:rsid w:val="00AE4DCC"/>
    <w:rsid w:val="00AF0C48"/>
    <w:rsid w:val="00AF2921"/>
    <w:rsid w:val="00AF5187"/>
    <w:rsid w:val="00B01C48"/>
    <w:rsid w:val="00B035F3"/>
    <w:rsid w:val="00B13F69"/>
    <w:rsid w:val="00B16FD5"/>
    <w:rsid w:val="00B252FD"/>
    <w:rsid w:val="00B2681C"/>
    <w:rsid w:val="00B46265"/>
    <w:rsid w:val="00B471BD"/>
    <w:rsid w:val="00B50F4E"/>
    <w:rsid w:val="00B60247"/>
    <w:rsid w:val="00B61F03"/>
    <w:rsid w:val="00B70882"/>
    <w:rsid w:val="00B70F4E"/>
    <w:rsid w:val="00B72811"/>
    <w:rsid w:val="00B72CA0"/>
    <w:rsid w:val="00B9008F"/>
    <w:rsid w:val="00BB022D"/>
    <w:rsid w:val="00BB0F98"/>
    <w:rsid w:val="00BB2A69"/>
    <w:rsid w:val="00BB3B41"/>
    <w:rsid w:val="00BB428B"/>
    <w:rsid w:val="00BB4995"/>
    <w:rsid w:val="00BC0082"/>
    <w:rsid w:val="00BC13EE"/>
    <w:rsid w:val="00BC30DB"/>
    <w:rsid w:val="00BC3DD4"/>
    <w:rsid w:val="00BC6652"/>
    <w:rsid w:val="00BC75BA"/>
    <w:rsid w:val="00BD15CB"/>
    <w:rsid w:val="00BD3D15"/>
    <w:rsid w:val="00BD79A6"/>
    <w:rsid w:val="00BE0D6A"/>
    <w:rsid w:val="00BF4A50"/>
    <w:rsid w:val="00BF4D44"/>
    <w:rsid w:val="00C106CF"/>
    <w:rsid w:val="00C10C91"/>
    <w:rsid w:val="00C10D06"/>
    <w:rsid w:val="00C136F6"/>
    <w:rsid w:val="00C171B4"/>
    <w:rsid w:val="00C20879"/>
    <w:rsid w:val="00C22933"/>
    <w:rsid w:val="00C254CC"/>
    <w:rsid w:val="00C26028"/>
    <w:rsid w:val="00C36D69"/>
    <w:rsid w:val="00C37E22"/>
    <w:rsid w:val="00C410D4"/>
    <w:rsid w:val="00C437C1"/>
    <w:rsid w:val="00C512E6"/>
    <w:rsid w:val="00C576DB"/>
    <w:rsid w:val="00C600CA"/>
    <w:rsid w:val="00C62BF3"/>
    <w:rsid w:val="00C651BE"/>
    <w:rsid w:val="00C75008"/>
    <w:rsid w:val="00C770B5"/>
    <w:rsid w:val="00C83625"/>
    <w:rsid w:val="00C92D53"/>
    <w:rsid w:val="00C93402"/>
    <w:rsid w:val="00CA63DB"/>
    <w:rsid w:val="00CB133E"/>
    <w:rsid w:val="00CC48B2"/>
    <w:rsid w:val="00CC48DF"/>
    <w:rsid w:val="00CE1D72"/>
    <w:rsid w:val="00CE2668"/>
    <w:rsid w:val="00CE3634"/>
    <w:rsid w:val="00CE62E6"/>
    <w:rsid w:val="00CE779D"/>
    <w:rsid w:val="00CE796F"/>
    <w:rsid w:val="00CF3485"/>
    <w:rsid w:val="00D01AC3"/>
    <w:rsid w:val="00D12FE6"/>
    <w:rsid w:val="00D226CC"/>
    <w:rsid w:val="00D30950"/>
    <w:rsid w:val="00D42644"/>
    <w:rsid w:val="00D43CB8"/>
    <w:rsid w:val="00D45DE9"/>
    <w:rsid w:val="00D46889"/>
    <w:rsid w:val="00D51000"/>
    <w:rsid w:val="00D53C66"/>
    <w:rsid w:val="00D56DC2"/>
    <w:rsid w:val="00D603DD"/>
    <w:rsid w:val="00D61FA2"/>
    <w:rsid w:val="00D666DF"/>
    <w:rsid w:val="00D7156B"/>
    <w:rsid w:val="00D74C5D"/>
    <w:rsid w:val="00D91731"/>
    <w:rsid w:val="00D92F9D"/>
    <w:rsid w:val="00DB0615"/>
    <w:rsid w:val="00DB2E45"/>
    <w:rsid w:val="00DB660A"/>
    <w:rsid w:val="00DD3013"/>
    <w:rsid w:val="00DD61E6"/>
    <w:rsid w:val="00DD6F09"/>
    <w:rsid w:val="00DD7A6A"/>
    <w:rsid w:val="00DE0AB5"/>
    <w:rsid w:val="00DE5F8F"/>
    <w:rsid w:val="00DE761D"/>
    <w:rsid w:val="00DF02D3"/>
    <w:rsid w:val="00DF1DA7"/>
    <w:rsid w:val="00DF425A"/>
    <w:rsid w:val="00E0102C"/>
    <w:rsid w:val="00E074B4"/>
    <w:rsid w:val="00E07889"/>
    <w:rsid w:val="00E21A6F"/>
    <w:rsid w:val="00E2263A"/>
    <w:rsid w:val="00E22F6D"/>
    <w:rsid w:val="00E2672C"/>
    <w:rsid w:val="00E32C1D"/>
    <w:rsid w:val="00E342C4"/>
    <w:rsid w:val="00E45BED"/>
    <w:rsid w:val="00E52AFE"/>
    <w:rsid w:val="00E57BD1"/>
    <w:rsid w:val="00E62317"/>
    <w:rsid w:val="00E65D3B"/>
    <w:rsid w:val="00E74B38"/>
    <w:rsid w:val="00E77215"/>
    <w:rsid w:val="00E8046A"/>
    <w:rsid w:val="00E8194C"/>
    <w:rsid w:val="00E917C7"/>
    <w:rsid w:val="00E9196C"/>
    <w:rsid w:val="00E93EF6"/>
    <w:rsid w:val="00E971F4"/>
    <w:rsid w:val="00EA094D"/>
    <w:rsid w:val="00EA21EF"/>
    <w:rsid w:val="00EA6360"/>
    <w:rsid w:val="00EA7CF6"/>
    <w:rsid w:val="00EB3365"/>
    <w:rsid w:val="00EC6743"/>
    <w:rsid w:val="00F02C50"/>
    <w:rsid w:val="00F048EF"/>
    <w:rsid w:val="00F05CD7"/>
    <w:rsid w:val="00F0628C"/>
    <w:rsid w:val="00F11286"/>
    <w:rsid w:val="00F15CD9"/>
    <w:rsid w:val="00F15D09"/>
    <w:rsid w:val="00F20B76"/>
    <w:rsid w:val="00F24CD2"/>
    <w:rsid w:val="00F31214"/>
    <w:rsid w:val="00F415ED"/>
    <w:rsid w:val="00F42A1D"/>
    <w:rsid w:val="00F4367B"/>
    <w:rsid w:val="00F449F9"/>
    <w:rsid w:val="00F45B1B"/>
    <w:rsid w:val="00F461E7"/>
    <w:rsid w:val="00F50EDF"/>
    <w:rsid w:val="00F53D29"/>
    <w:rsid w:val="00F62761"/>
    <w:rsid w:val="00F657DE"/>
    <w:rsid w:val="00F673A9"/>
    <w:rsid w:val="00F81A6E"/>
    <w:rsid w:val="00F83286"/>
    <w:rsid w:val="00FA0864"/>
    <w:rsid w:val="00FA2778"/>
    <w:rsid w:val="00FA795A"/>
    <w:rsid w:val="00FB5CD8"/>
    <w:rsid w:val="00FC2CFF"/>
    <w:rsid w:val="00FC6971"/>
    <w:rsid w:val="00FD2164"/>
    <w:rsid w:val="00FD2A32"/>
    <w:rsid w:val="00FD67BA"/>
    <w:rsid w:val="00FD71E2"/>
    <w:rsid w:val="00FE2DC6"/>
    <w:rsid w:val="00FE5B83"/>
    <w:rsid w:val="00FE77CB"/>
    <w:rsid w:val="00FF0671"/>
    <w:rsid w:val="00FF10E7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F5FF0"/>
  <w15:chartTrackingRefBased/>
  <w15:docId w15:val="{7EFED4BA-E4A7-456D-B084-ECE0CE56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tLeast"/>
    </w:pPr>
    <w:rPr>
      <w:rFonts w:ascii="Trebuchet MS" w:hAnsi="Trebuchet MS" w:cs="Trebuchet M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esedilooblaka1">
    <w:name w:val="Besedilo oblačka1"/>
    <w:basedOn w:val="Normal"/>
    <w:pPr>
      <w:spacing w:after="0" w:line="240" w:lineRule="auto"/>
    </w:pPr>
    <w:rPr>
      <w:rFonts w:ascii="Tahoma" w:hAnsi="Tahoma" w:cs="Tahoma"/>
      <w:sz w:val="16"/>
    </w:rPr>
  </w:style>
  <w:style w:type="paragraph" w:customStyle="1" w:styleId="Brezrazmikov1">
    <w:name w:val="Brez razmikov1"/>
    <w:qFormat/>
    <w:rPr>
      <w:rFonts w:ascii="Trebuchet MS" w:hAnsi="Trebuchet MS" w:cs="Trebuchet MS"/>
    </w:rPr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sz w:val="32"/>
    </w:rPr>
  </w:style>
  <w:style w:type="paragraph" w:styleId="Subtitle">
    <w:name w:val="Subtitle"/>
    <w:basedOn w:val="Normal"/>
    <w:next w:val="Normal"/>
    <w:qFormat/>
    <w:pPr>
      <w:spacing w:after="60"/>
      <w:jc w:val="center"/>
    </w:pPr>
    <w:rPr>
      <w:sz w:val="24"/>
    </w:rPr>
  </w:style>
  <w:style w:type="paragraph" w:customStyle="1" w:styleId="Citat1">
    <w:name w:val="Citat1"/>
    <w:basedOn w:val="Normal"/>
    <w:next w:val="Normal"/>
    <w:rPr>
      <w:i/>
      <w:color w:val="000000"/>
    </w:rPr>
  </w:style>
  <w:style w:type="paragraph" w:customStyle="1" w:styleId="Intenzivencitat1">
    <w:name w:val="Intenziven citat1"/>
    <w:basedOn w:val="Normal"/>
    <w:next w:val="Normal"/>
    <w:pPr>
      <w:pBdr>
        <w:bottom w:val="single" w:sz="6" w:space="4" w:color="C0C0C0"/>
      </w:pBdr>
      <w:spacing w:before="200" w:after="280"/>
      <w:ind w:left="936" w:right="936"/>
    </w:pPr>
    <w:rPr>
      <w:b/>
      <w:i/>
      <w:color w:val="FFFF00"/>
    </w:rPr>
  </w:style>
  <w:style w:type="paragraph" w:customStyle="1" w:styleId="Odstavekseznama1">
    <w:name w:val="Odstavek seznama1"/>
    <w:basedOn w:val="Normal"/>
    <w:pPr>
      <w:ind w:left="708"/>
    </w:p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Arial" w:hAnsi="Arial" w:cs="Arial"/>
      <w:sz w:val="22"/>
    </w:rPr>
  </w:style>
  <w:style w:type="paragraph" w:customStyle="1" w:styleId="HTML-oblikovano1">
    <w:name w:val="HTML-oblikovano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1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33F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D33F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106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6CF"/>
  </w:style>
  <w:style w:type="character" w:customStyle="1" w:styleId="CommentTextChar">
    <w:name w:val="Comment Text Char"/>
    <w:link w:val="CommentText"/>
    <w:uiPriority w:val="99"/>
    <w:rsid w:val="00C106CF"/>
    <w:rPr>
      <w:rFonts w:ascii="Trebuchet MS" w:hAnsi="Trebuchet MS" w:cs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6C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06CF"/>
    <w:rPr>
      <w:rFonts w:ascii="Trebuchet MS" w:hAnsi="Trebuchet MS" w:cs="Trebuchet MS"/>
      <w:b/>
      <w:bCs/>
    </w:rPr>
  </w:style>
  <w:style w:type="paragraph" w:styleId="Revision">
    <w:name w:val="Revision"/>
    <w:hidden/>
    <w:uiPriority w:val="99"/>
    <w:semiHidden/>
    <w:rsid w:val="00C75008"/>
    <w:rPr>
      <w:rFonts w:ascii="Trebuchet MS" w:hAnsi="Trebuchet MS" w:cs="Trebuchet MS"/>
    </w:rPr>
  </w:style>
  <w:style w:type="paragraph" w:styleId="ListParagraph">
    <w:name w:val="List Paragraph"/>
    <w:basedOn w:val="Normal"/>
    <w:uiPriority w:val="34"/>
    <w:qFormat/>
    <w:rsid w:val="009F0344"/>
    <w:pPr>
      <w:spacing w:line="276" w:lineRule="auto"/>
      <w:ind w:left="720"/>
      <w:contextualSpacing/>
    </w:pPr>
    <w:rPr>
      <w:rFonts w:eastAsia="Calibri" w:cs="Times New Roman"/>
      <w:szCs w:val="22"/>
      <w:lang w:eastAsia="en-US"/>
    </w:rPr>
  </w:style>
  <w:style w:type="character" w:customStyle="1" w:styleId="FooterChar">
    <w:name w:val="Footer Char"/>
    <w:link w:val="Footer"/>
    <w:rsid w:val="008B100F"/>
    <w:rPr>
      <w:rFonts w:ascii="Trebuchet MS" w:hAnsi="Trebuchet MS" w:cs="Trebuchet M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71BD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1BD"/>
    <w:rPr>
      <w:rFonts w:ascii="Trebuchet MS" w:hAnsi="Trebuchet MS" w:cs="Trebuchet MS"/>
    </w:rPr>
  </w:style>
  <w:style w:type="character" w:styleId="FootnoteReference">
    <w:name w:val="footnote reference"/>
    <w:basedOn w:val="DefaultParagraphFont"/>
    <w:uiPriority w:val="99"/>
    <w:semiHidden/>
    <w:unhideWhenUsed/>
    <w:rsid w:val="00B471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EA194-FBB5-4F19-AC7C-E9132EA9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538</Words>
  <Characters>3718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Številka: 40105-xxxx/11-33</vt:lpstr>
      <vt:lpstr>Številka: 40105-xxxx/11-33</vt:lpstr>
    </vt:vector>
  </TitlesOfParts>
  <Company>AZN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40105-xxxx/11-33</dc:title>
  <dc:subject/>
  <dc:creator>mzajc</dc:creator>
  <cp:keywords/>
  <cp:lastModifiedBy>Aleš Kavšek</cp:lastModifiedBy>
  <cp:revision>3</cp:revision>
  <cp:lastPrinted>2025-07-08T08:59:00Z</cp:lastPrinted>
  <dcterms:created xsi:type="dcterms:W3CDTF">2025-07-16T08:02:00Z</dcterms:created>
  <dcterms:modified xsi:type="dcterms:W3CDTF">2025-07-16T08:16:00Z</dcterms:modified>
</cp:coreProperties>
</file>