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5E754" w14:textId="77777777" w:rsidR="00BC13EE" w:rsidRDefault="00BC13EE">
      <w:pPr>
        <w:pStyle w:val="Brezrazmikov1"/>
        <w:tabs>
          <w:tab w:val="left" w:pos="851"/>
        </w:tabs>
        <w:spacing w:line="276" w:lineRule="atLeast"/>
        <w:rPr>
          <w:b/>
        </w:rPr>
        <w:sectPr w:rsidR="00BC13EE" w:rsidSect="008C3F8C">
          <w:headerReference w:type="default" r:id="rId8"/>
          <w:footerReference w:type="default" r:id="rId9"/>
          <w:pgSz w:w="11907" w:h="16840"/>
          <w:pgMar w:top="2268" w:right="1134" w:bottom="1418" w:left="1134" w:header="1134" w:footer="964" w:gutter="0"/>
          <w:cols w:space="708"/>
        </w:sectPr>
      </w:pPr>
    </w:p>
    <w:p w14:paraId="67DFD944" w14:textId="77777777" w:rsidR="00C83625" w:rsidRDefault="00C83625" w:rsidP="00C83625">
      <w:pPr>
        <w:pStyle w:val="Brezrazmikov1"/>
        <w:spacing w:line="300" w:lineRule="exact"/>
      </w:pPr>
    </w:p>
    <w:p w14:paraId="27584986" w14:textId="711AD398" w:rsidR="00BC13EE" w:rsidRPr="0059172A" w:rsidRDefault="00BC13EE" w:rsidP="00C83625">
      <w:pPr>
        <w:pStyle w:val="Brezrazmikov1"/>
        <w:spacing w:line="300" w:lineRule="exact"/>
        <w:rPr>
          <w:sz w:val="22"/>
          <w:szCs w:val="22"/>
        </w:rPr>
      </w:pPr>
      <w:r w:rsidRPr="0059172A">
        <w:rPr>
          <w:sz w:val="22"/>
          <w:szCs w:val="22"/>
        </w:rPr>
        <w:t>Številka:</w:t>
      </w:r>
      <w:r w:rsidR="005F1AAC" w:rsidRPr="0059172A">
        <w:t xml:space="preserve"> </w:t>
      </w:r>
      <w:r w:rsidR="0059172A" w:rsidRPr="0059172A">
        <w:rPr>
          <w:sz w:val="22"/>
          <w:szCs w:val="22"/>
        </w:rPr>
        <w:t>00701-3/</w:t>
      </w:r>
      <w:r w:rsidR="005F1AAC" w:rsidRPr="0059172A">
        <w:rPr>
          <w:sz w:val="22"/>
          <w:szCs w:val="22"/>
        </w:rPr>
        <w:t>202</w:t>
      </w:r>
      <w:r w:rsidR="00117E02" w:rsidRPr="0059172A">
        <w:rPr>
          <w:sz w:val="22"/>
          <w:szCs w:val="22"/>
        </w:rPr>
        <w:t>5</w:t>
      </w:r>
      <w:r w:rsidR="001860C2" w:rsidRPr="0059172A">
        <w:rPr>
          <w:sz w:val="22"/>
          <w:szCs w:val="22"/>
        </w:rPr>
        <w:t>-</w:t>
      </w:r>
      <w:r w:rsidR="00117E02" w:rsidRPr="0059172A">
        <w:rPr>
          <w:sz w:val="22"/>
          <w:szCs w:val="22"/>
        </w:rPr>
        <w:t>1</w:t>
      </w:r>
    </w:p>
    <w:p w14:paraId="01096284" w14:textId="36E1F373" w:rsidR="00BC13EE" w:rsidRPr="0059172A" w:rsidRDefault="00BC13EE" w:rsidP="0025604F">
      <w:pPr>
        <w:pStyle w:val="Brezrazmikov1"/>
        <w:tabs>
          <w:tab w:val="left" w:pos="851"/>
        </w:tabs>
        <w:spacing w:line="300" w:lineRule="exact"/>
        <w:rPr>
          <w:sz w:val="22"/>
          <w:szCs w:val="22"/>
        </w:rPr>
      </w:pPr>
      <w:r w:rsidRPr="0059172A">
        <w:rPr>
          <w:sz w:val="22"/>
          <w:szCs w:val="22"/>
        </w:rPr>
        <w:t>Datum:</w:t>
      </w:r>
      <w:r w:rsidR="00982DEF" w:rsidRPr="0059172A">
        <w:rPr>
          <w:sz w:val="22"/>
          <w:szCs w:val="22"/>
        </w:rPr>
        <w:t xml:space="preserve"> </w:t>
      </w:r>
      <w:r w:rsidR="00117E02" w:rsidRPr="0059172A">
        <w:rPr>
          <w:sz w:val="22"/>
          <w:szCs w:val="22"/>
        </w:rPr>
        <w:t>17</w:t>
      </w:r>
      <w:r w:rsidR="00EB3365" w:rsidRPr="0059172A">
        <w:rPr>
          <w:sz w:val="22"/>
          <w:szCs w:val="22"/>
        </w:rPr>
        <w:t>. </w:t>
      </w:r>
      <w:r w:rsidR="00117E02" w:rsidRPr="0059172A">
        <w:rPr>
          <w:sz w:val="22"/>
          <w:szCs w:val="22"/>
        </w:rPr>
        <w:t>2</w:t>
      </w:r>
      <w:r w:rsidR="00EB3365" w:rsidRPr="0059172A">
        <w:rPr>
          <w:sz w:val="22"/>
          <w:szCs w:val="22"/>
        </w:rPr>
        <w:t>. 202</w:t>
      </w:r>
      <w:r w:rsidR="00AC5846" w:rsidRPr="0059172A">
        <w:rPr>
          <w:sz w:val="22"/>
          <w:szCs w:val="22"/>
        </w:rPr>
        <w:t>5</w:t>
      </w:r>
    </w:p>
    <w:p w14:paraId="21548C1F" w14:textId="77777777" w:rsidR="00E22F6D" w:rsidRDefault="00E22F6D" w:rsidP="00235ABE">
      <w:pPr>
        <w:spacing w:after="0" w:line="300" w:lineRule="exact"/>
        <w:jc w:val="both"/>
        <w:rPr>
          <w:sz w:val="22"/>
          <w:szCs w:val="22"/>
        </w:rPr>
      </w:pPr>
    </w:p>
    <w:p w14:paraId="060FB4A7" w14:textId="77777777" w:rsidR="000012C3" w:rsidRDefault="000012C3" w:rsidP="00235ABE">
      <w:pPr>
        <w:spacing w:after="0" w:line="300" w:lineRule="exact"/>
        <w:jc w:val="both"/>
        <w:rPr>
          <w:sz w:val="22"/>
          <w:szCs w:val="22"/>
        </w:rPr>
      </w:pPr>
    </w:p>
    <w:p w14:paraId="0BCC56A7" w14:textId="77777777" w:rsidR="00117E02" w:rsidRPr="0059172A" w:rsidRDefault="00117E02" w:rsidP="00117E02">
      <w:pPr>
        <w:jc w:val="center"/>
        <w:rPr>
          <w:rFonts w:cstheme="minorHAnsi"/>
          <w:b/>
          <w:bCs/>
          <w:sz w:val="22"/>
          <w:szCs w:val="22"/>
        </w:rPr>
      </w:pPr>
      <w:r w:rsidRPr="0059172A">
        <w:rPr>
          <w:rFonts w:cstheme="minorHAnsi"/>
          <w:b/>
          <w:bCs/>
          <w:sz w:val="22"/>
          <w:szCs w:val="22"/>
        </w:rPr>
        <w:t>Navodilo za poročanje pojasnil iz Sklepa o letnem poročilu in trimesečnih računovodskih izkazih zavarovalnic za sklad za dodatno pokojninsko zavarovanje v času izplačevanja rent</w:t>
      </w:r>
    </w:p>
    <w:p w14:paraId="5BB7C4F2" w14:textId="77777777" w:rsidR="00117E02" w:rsidRPr="00117E02" w:rsidRDefault="00117E02" w:rsidP="00117E02">
      <w:pPr>
        <w:jc w:val="both"/>
        <w:rPr>
          <w:rFonts w:cstheme="minorHAnsi"/>
          <w:sz w:val="22"/>
          <w:szCs w:val="22"/>
        </w:rPr>
      </w:pPr>
    </w:p>
    <w:p w14:paraId="340B6742" w14:textId="77777777" w:rsidR="00117E02" w:rsidRPr="00117E02" w:rsidRDefault="00117E02" w:rsidP="00117E02">
      <w:pPr>
        <w:jc w:val="both"/>
        <w:rPr>
          <w:rFonts w:cstheme="minorHAnsi"/>
          <w:sz w:val="22"/>
          <w:szCs w:val="22"/>
        </w:rPr>
      </w:pPr>
      <w:r w:rsidRPr="00117E02">
        <w:rPr>
          <w:rFonts w:cstheme="minorHAnsi"/>
          <w:sz w:val="22"/>
          <w:szCs w:val="22"/>
        </w:rPr>
        <w:t>Agencija za zavarovalni nadzor (v nadaljevanju: Agencija) je izdala Sklep o letnem poročilu in trimesečnih računovodskih izkazih zavarovalnic (Uradni list RS, številka: 151/2022 in 101/24; v nadaljevanju: Sklep o LP), ki v 9. členu določa pojasnila, ki jih zavarovalnica razkrije v zvezi z oblikovanimi skladi. Podrobnejša vsebina pojasnil za sklade je (razen za pokojninski sklad oblikovan kot kritni sklad oziroma skupina kritnih skladov) nadalje določena v Prilogi 2 Sklepa o LP. Pri pregledu poročanja za leto 2023 je Agencija ugotovila nedoslednosti pri poročanju pojasnil za sklad, pri katerih se pripis dobička ugotavlja na podlagi teoretičnega rezultata, tj.  pojasnil iz točke 2.2. Priloge 2, in sicer predvsem pri poročanju za sklad za dodatno pokojninsko zavarovanje v času izplačevanja rent. V izogib napakam pri poročanju in različnemu razumevanju poročevalskih zahtev, Agencija izdaja Navodilo za poročanje, in sicer natančneje, opredeljuje tiste postavke, pri katerih so bile pri določenih subjektih nadzora ugotovljene napake pri poročanju.</w:t>
      </w:r>
    </w:p>
    <w:p w14:paraId="348525AB" w14:textId="77777777" w:rsidR="00117E02" w:rsidRPr="00117E02" w:rsidRDefault="00117E02" w:rsidP="00117E02">
      <w:pPr>
        <w:jc w:val="both"/>
        <w:rPr>
          <w:rFonts w:cstheme="minorHAnsi"/>
          <w:sz w:val="22"/>
          <w:szCs w:val="22"/>
        </w:rPr>
      </w:pPr>
    </w:p>
    <w:p w14:paraId="7302F107" w14:textId="77777777" w:rsidR="00117E02" w:rsidRPr="00117E02" w:rsidRDefault="00117E02" w:rsidP="00117E02">
      <w:pPr>
        <w:jc w:val="both"/>
        <w:rPr>
          <w:rFonts w:cstheme="minorHAnsi"/>
          <w:b/>
          <w:bCs/>
          <w:sz w:val="22"/>
          <w:szCs w:val="22"/>
          <w:u w:val="single"/>
        </w:rPr>
      </w:pPr>
      <w:r w:rsidRPr="00117E02">
        <w:rPr>
          <w:rFonts w:cstheme="minorHAnsi"/>
          <w:b/>
          <w:bCs/>
          <w:sz w:val="22"/>
          <w:szCs w:val="22"/>
          <w:u w:val="single"/>
        </w:rPr>
        <w:t>2.2.b) Prikaz obveznosti sklada</w:t>
      </w:r>
    </w:p>
    <w:p w14:paraId="52E58690" w14:textId="77777777" w:rsidR="00117E02" w:rsidRPr="00117E02" w:rsidRDefault="00117E02" w:rsidP="00117E02">
      <w:pPr>
        <w:jc w:val="both"/>
        <w:rPr>
          <w:rFonts w:cstheme="minorHAnsi"/>
          <w:b/>
          <w:bCs/>
          <w:sz w:val="22"/>
          <w:szCs w:val="22"/>
          <w:u w:val="single"/>
        </w:rPr>
      </w:pPr>
    </w:p>
    <w:p w14:paraId="4A68273E" w14:textId="77777777" w:rsidR="00117E02" w:rsidRPr="00117E02" w:rsidRDefault="00117E02" w:rsidP="00117E02">
      <w:pPr>
        <w:jc w:val="both"/>
        <w:rPr>
          <w:rFonts w:cstheme="minorHAnsi"/>
          <w:b/>
          <w:bCs/>
          <w:sz w:val="22"/>
          <w:szCs w:val="22"/>
        </w:rPr>
      </w:pPr>
      <w:r w:rsidRPr="00117E02">
        <w:rPr>
          <w:rFonts w:cstheme="minorHAnsi"/>
          <w:b/>
          <w:bCs/>
          <w:sz w:val="22"/>
          <w:szCs w:val="22"/>
        </w:rPr>
        <w:t>Matematične rezervacije</w:t>
      </w:r>
    </w:p>
    <w:p w14:paraId="18B642B4" w14:textId="77777777" w:rsidR="00117E02" w:rsidRPr="00117E02" w:rsidRDefault="00117E02" w:rsidP="00117E02">
      <w:pPr>
        <w:jc w:val="both"/>
        <w:rPr>
          <w:rFonts w:cstheme="minorHAnsi"/>
          <w:sz w:val="22"/>
          <w:szCs w:val="22"/>
        </w:rPr>
      </w:pPr>
      <w:r w:rsidRPr="00117E02">
        <w:rPr>
          <w:rFonts w:cstheme="minorHAnsi"/>
          <w:sz w:val="22"/>
          <w:szCs w:val="22"/>
        </w:rPr>
        <w:t xml:space="preserve">V postavki »Matematične rezervacije na začetku leta« in postavkah »Matematične rezervacije na koncu leta, in sicer: brez upoštevanja pripisa dobička tekočega leta in z upoštevanjem pripisa dobička tekočega leta« je treba prikazati </w:t>
      </w:r>
      <w:r w:rsidRPr="00117E02">
        <w:rPr>
          <w:rFonts w:cstheme="minorHAnsi"/>
          <w:color w:val="000000"/>
          <w:sz w:val="22"/>
          <w:szCs w:val="22"/>
        </w:rPr>
        <w:t>vrednost matematične rezervacije, ki se izračunana tako, kot to določa četrti odstavek 9. člena  Pravilnika o podrobnejših pravilih in minimalnih zahtevah, ki jih zavarovalnica ali pokojninska družba upoštevata pri izračunu pokojninske rente (Uradni list RS, št. 110/13, 94/14, 21/16 in 68/19; v nadaljevanju: Pravilnik</w:t>
      </w:r>
      <w:r w:rsidRPr="00117E02">
        <w:rPr>
          <w:rFonts w:cstheme="minorHAnsi"/>
          <w:sz w:val="22"/>
          <w:szCs w:val="22"/>
        </w:rPr>
        <w:t>) in ne po principih izračuna Mednarodnega standarda računovodskega poročanja 17 – Zavarovalne pogodbe.</w:t>
      </w:r>
    </w:p>
    <w:p w14:paraId="2329AA51" w14:textId="77777777" w:rsidR="00117E02" w:rsidRPr="00117E02" w:rsidRDefault="00117E02" w:rsidP="00117E02">
      <w:pPr>
        <w:jc w:val="both"/>
        <w:rPr>
          <w:rFonts w:cstheme="minorHAnsi"/>
          <w:sz w:val="22"/>
          <w:szCs w:val="22"/>
        </w:rPr>
      </w:pPr>
    </w:p>
    <w:p w14:paraId="10779E60" w14:textId="77777777" w:rsidR="00117E02" w:rsidRPr="00117E02" w:rsidRDefault="00117E02" w:rsidP="00117E02">
      <w:pPr>
        <w:jc w:val="both"/>
        <w:rPr>
          <w:rFonts w:cstheme="minorHAnsi"/>
          <w:b/>
          <w:bCs/>
          <w:sz w:val="22"/>
          <w:szCs w:val="22"/>
          <w:u w:val="single"/>
        </w:rPr>
      </w:pPr>
      <w:r w:rsidRPr="00117E02">
        <w:rPr>
          <w:rFonts w:cstheme="minorHAnsi"/>
          <w:b/>
          <w:bCs/>
          <w:sz w:val="22"/>
          <w:szCs w:val="22"/>
        </w:rPr>
        <w:t>Nerazporejeni zneski tehničnih rezultatov</w:t>
      </w:r>
    </w:p>
    <w:p w14:paraId="58037E26" w14:textId="77777777" w:rsidR="00117E02" w:rsidRPr="00117E02" w:rsidRDefault="00117E02" w:rsidP="00117E02">
      <w:pPr>
        <w:jc w:val="both"/>
        <w:rPr>
          <w:rFonts w:cstheme="minorHAnsi"/>
          <w:sz w:val="22"/>
          <w:szCs w:val="22"/>
        </w:rPr>
      </w:pPr>
      <w:r w:rsidRPr="00117E02">
        <w:rPr>
          <w:rFonts w:cstheme="minorHAnsi"/>
          <w:sz w:val="22"/>
          <w:szCs w:val="22"/>
        </w:rPr>
        <w:t>Pri poročanju nerazporejenih zneskov tehničnih rezultatov se upoštevajo določila Pravilnika, in sicer natančneje drugi odstavek 9. člena.</w:t>
      </w:r>
    </w:p>
    <w:p w14:paraId="190B5744" w14:textId="77777777" w:rsidR="00117E02" w:rsidRPr="00117E02" w:rsidRDefault="00117E02" w:rsidP="00117E02">
      <w:pPr>
        <w:jc w:val="both"/>
        <w:rPr>
          <w:rFonts w:cstheme="minorHAnsi"/>
          <w:sz w:val="22"/>
          <w:szCs w:val="22"/>
        </w:rPr>
      </w:pPr>
      <w:r w:rsidRPr="00117E02">
        <w:rPr>
          <w:rFonts w:cstheme="minorHAnsi"/>
          <w:sz w:val="22"/>
          <w:szCs w:val="22"/>
        </w:rPr>
        <w:t xml:space="preserve">Postavka »Nerazporejeni zneski tehničnih rezultatov na začetku leta« se nanaša na celoten znesek nerazporejenih tehničnih rezultatov na začetku obračunskega obdobja, torej na dan 1. januarja, ki je vsota nerazporejenih zneskov preteklih let. </w:t>
      </w:r>
    </w:p>
    <w:p w14:paraId="631F8EE9" w14:textId="77777777" w:rsidR="00117E02" w:rsidRPr="00117E02" w:rsidRDefault="00117E02" w:rsidP="00117E02">
      <w:pPr>
        <w:jc w:val="both"/>
        <w:rPr>
          <w:rFonts w:cstheme="minorHAnsi"/>
          <w:sz w:val="22"/>
          <w:szCs w:val="22"/>
        </w:rPr>
      </w:pPr>
      <w:r w:rsidRPr="00117E02">
        <w:rPr>
          <w:rFonts w:cstheme="minorHAnsi"/>
          <w:sz w:val="22"/>
          <w:szCs w:val="22"/>
        </w:rPr>
        <w:lastRenderedPageBreak/>
        <w:t xml:space="preserve">Postavka »Nerazporejeni zneski tehničnih rezultatov na koncu leta« se nanaša na celoten znesek nerazporejenih tehničnih rezultatov na koncu posameznega obračunskega obdobja, torej na dan 31. marca, 30. junija, 30. septembra in 31. decembra. </w:t>
      </w:r>
      <w:bookmarkStart w:id="0" w:name="_Hlk179795826"/>
      <w:r w:rsidRPr="00117E02">
        <w:rPr>
          <w:rFonts w:cstheme="minorHAnsi"/>
          <w:sz w:val="22"/>
          <w:szCs w:val="22"/>
        </w:rPr>
        <w:t xml:space="preserve">V primeru medletnih računovodskih izkazov (torej na dan 31. marca, 30. junija, 30. septembra) so podatki enaki kot v predhodni vrstici, torej kot na začetku leta. </w:t>
      </w:r>
    </w:p>
    <w:p w14:paraId="29893B08" w14:textId="77777777" w:rsidR="00117E02" w:rsidRPr="00117E02" w:rsidRDefault="00117E02" w:rsidP="00117E02">
      <w:pPr>
        <w:jc w:val="both"/>
        <w:rPr>
          <w:rFonts w:cstheme="minorHAnsi"/>
          <w:sz w:val="22"/>
          <w:szCs w:val="22"/>
        </w:rPr>
      </w:pPr>
    </w:p>
    <w:bookmarkEnd w:id="0"/>
    <w:p w14:paraId="10AA7215" w14:textId="77777777" w:rsidR="00117E02" w:rsidRPr="00117E02" w:rsidRDefault="00117E02" w:rsidP="00117E02">
      <w:pPr>
        <w:jc w:val="both"/>
        <w:rPr>
          <w:rFonts w:cstheme="minorHAnsi"/>
          <w:b/>
          <w:bCs/>
          <w:sz w:val="22"/>
          <w:szCs w:val="22"/>
          <w:u w:val="single"/>
        </w:rPr>
      </w:pPr>
      <w:r w:rsidRPr="00117E02">
        <w:rPr>
          <w:rFonts w:cstheme="minorHAnsi"/>
          <w:b/>
          <w:bCs/>
          <w:sz w:val="22"/>
          <w:szCs w:val="22"/>
          <w:u w:val="single"/>
        </w:rPr>
        <w:t>2.2.c) Prikaz izida sklada</w:t>
      </w:r>
    </w:p>
    <w:p w14:paraId="75E750BD" w14:textId="77777777" w:rsidR="00117E02" w:rsidRPr="00117E02" w:rsidRDefault="00117E02" w:rsidP="00117E02">
      <w:pPr>
        <w:jc w:val="both"/>
        <w:rPr>
          <w:rFonts w:cstheme="minorHAnsi"/>
          <w:b/>
          <w:bCs/>
          <w:sz w:val="22"/>
          <w:szCs w:val="22"/>
          <w:u w:val="single"/>
        </w:rPr>
      </w:pPr>
    </w:p>
    <w:p w14:paraId="46115CF1" w14:textId="77777777" w:rsidR="00117E02" w:rsidRPr="00117E02" w:rsidRDefault="00117E02" w:rsidP="00117E02">
      <w:pPr>
        <w:jc w:val="both"/>
        <w:rPr>
          <w:rFonts w:cstheme="minorHAnsi"/>
          <w:sz w:val="22"/>
          <w:szCs w:val="22"/>
        </w:rPr>
      </w:pPr>
      <w:r w:rsidRPr="00117E02">
        <w:rPr>
          <w:rFonts w:cstheme="minorHAnsi"/>
          <w:sz w:val="22"/>
          <w:szCs w:val="22"/>
        </w:rPr>
        <w:t xml:space="preserve">Postavka »X. Pripis dobička tekočega leta« se v celoti nanaša na pripis dobička tekočega leta zavarovancem, kot to določa drugi odstavek 9. člena Pravilnika. </w:t>
      </w:r>
      <w:r w:rsidRPr="00117E02">
        <w:rPr>
          <w:rStyle w:val="cf01"/>
          <w:rFonts w:ascii="Trebuchet MS" w:hAnsi="Trebuchet MS" w:cstheme="minorHAnsi"/>
          <w:sz w:val="22"/>
          <w:szCs w:val="22"/>
        </w:rPr>
        <w:t>Ta postavka že po stanju na dan 31.12. upošteva povečanje pokojninske rente, ki ga mora zavarovalnica izvesti najkasneje do konca aprila i</w:t>
      </w:r>
      <w:r w:rsidRPr="00117E02">
        <w:rPr>
          <w:rFonts w:cstheme="minorHAnsi"/>
          <w:sz w:val="22"/>
          <w:szCs w:val="22"/>
        </w:rPr>
        <w:t>n je vsota postavk:</w:t>
      </w:r>
    </w:p>
    <w:p w14:paraId="2327742D" w14:textId="77777777" w:rsidR="00117E02" w:rsidRPr="00117E02" w:rsidRDefault="00117E02" w:rsidP="00117E02">
      <w:pPr>
        <w:jc w:val="both"/>
        <w:rPr>
          <w:rFonts w:cstheme="minorHAnsi"/>
          <w:sz w:val="22"/>
          <w:szCs w:val="22"/>
        </w:rPr>
      </w:pPr>
    </w:p>
    <w:p w14:paraId="3BA0A808" w14:textId="77777777" w:rsidR="00117E02" w:rsidRPr="00117E02" w:rsidRDefault="00117E02" w:rsidP="00117E02">
      <w:pPr>
        <w:ind w:firstLine="708"/>
        <w:jc w:val="both"/>
        <w:rPr>
          <w:rFonts w:cstheme="minorHAnsi"/>
          <w:sz w:val="22"/>
          <w:szCs w:val="22"/>
        </w:rPr>
      </w:pPr>
      <w:r w:rsidRPr="00117E02">
        <w:rPr>
          <w:rFonts w:cstheme="minorHAnsi"/>
          <w:sz w:val="22"/>
          <w:szCs w:val="22"/>
        </w:rPr>
        <w:t>»</w:t>
      </w:r>
      <w:proofErr w:type="spellStart"/>
      <w:r w:rsidRPr="00117E02">
        <w:rPr>
          <w:rFonts w:cstheme="minorHAnsi"/>
          <w:sz w:val="22"/>
          <w:szCs w:val="22"/>
        </w:rPr>
        <w:t>X.a</w:t>
      </w:r>
      <w:proofErr w:type="spellEnd"/>
      <w:r w:rsidRPr="00117E02">
        <w:rPr>
          <w:rFonts w:cstheme="minorHAnsi"/>
          <w:sz w:val="22"/>
          <w:szCs w:val="22"/>
        </w:rPr>
        <w:t xml:space="preserve"> Pripis zavarovancem v obliki povečane pokojninske rente«</w:t>
      </w:r>
    </w:p>
    <w:p w14:paraId="1D5B11E7" w14:textId="77777777" w:rsidR="00117E02" w:rsidRPr="00117E02" w:rsidRDefault="00117E02" w:rsidP="00117E02">
      <w:pPr>
        <w:ind w:left="709" w:hanging="1"/>
        <w:jc w:val="both"/>
        <w:rPr>
          <w:rFonts w:cstheme="minorHAnsi"/>
          <w:sz w:val="22"/>
          <w:szCs w:val="22"/>
        </w:rPr>
      </w:pPr>
      <w:r w:rsidRPr="00117E02">
        <w:rPr>
          <w:rFonts w:cstheme="minorHAnsi"/>
          <w:sz w:val="22"/>
          <w:szCs w:val="22"/>
        </w:rPr>
        <w:t>V primeru, da je na skladu za dodatno pokojninsko zavarovanje v času izplačevanja rent za poslovno leto ugotovljen pozitiven rezultat mora izvajalec pokojninskega načrta za izplačevanje pokojninskih rent najmanj 90 % pozitivnega tehničnega rezultata poslovnega leta nameniti pripisu dobička, pri čemer najmanj 50</w:t>
      </w:r>
      <w:r w:rsidRPr="00117E02">
        <w:rPr>
          <w:rFonts w:ascii="Arial" w:hAnsi="Arial" w:cs="Arial"/>
          <w:sz w:val="22"/>
          <w:szCs w:val="22"/>
        </w:rPr>
        <w:t> </w:t>
      </w:r>
      <w:r w:rsidRPr="00117E02">
        <w:rPr>
          <w:rFonts w:cstheme="minorHAnsi"/>
          <w:sz w:val="22"/>
          <w:szCs w:val="22"/>
        </w:rPr>
        <w:t>% od 90</w:t>
      </w:r>
      <w:r w:rsidRPr="00117E02">
        <w:rPr>
          <w:rFonts w:ascii="Arial" w:hAnsi="Arial" w:cs="Arial"/>
          <w:sz w:val="22"/>
          <w:szCs w:val="22"/>
        </w:rPr>
        <w:t> </w:t>
      </w:r>
      <w:r w:rsidRPr="00117E02">
        <w:rPr>
          <w:rFonts w:cstheme="minorHAnsi"/>
          <w:sz w:val="22"/>
          <w:szCs w:val="22"/>
        </w:rPr>
        <w:t>% tehni</w:t>
      </w:r>
      <w:r w:rsidRPr="00117E02">
        <w:rPr>
          <w:sz w:val="22"/>
          <w:szCs w:val="22"/>
        </w:rPr>
        <w:t>č</w:t>
      </w:r>
      <w:r w:rsidRPr="00117E02">
        <w:rPr>
          <w:rFonts w:cstheme="minorHAnsi"/>
          <w:sz w:val="22"/>
          <w:szCs w:val="22"/>
        </w:rPr>
        <w:t>nega rezultata vsako leto najkasneje do konca aprila naslednjega leta pripiše zavarovancu v obliki povečanja pokojninske rente. V tej postavki se tako prikaže tisti del tehničnega rezultata, ki se v skladu s šestim odstavkom 9. člena Pravilnika pripiše zavarovancem v obliki povečanja pokojninske rente (najmanj 50</w:t>
      </w:r>
      <w:r w:rsidRPr="00117E02">
        <w:rPr>
          <w:rFonts w:ascii="Arial" w:hAnsi="Arial" w:cs="Arial"/>
          <w:sz w:val="22"/>
          <w:szCs w:val="22"/>
        </w:rPr>
        <w:t> </w:t>
      </w:r>
      <w:r w:rsidRPr="00117E02">
        <w:rPr>
          <w:rFonts w:cstheme="minorHAnsi"/>
          <w:sz w:val="22"/>
          <w:szCs w:val="22"/>
        </w:rPr>
        <w:t>% od 90</w:t>
      </w:r>
      <w:r w:rsidRPr="00117E02">
        <w:rPr>
          <w:rFonts w:ascii="Arial" w:hAnsi="Arial" w:cs="Arial"/>
          <w:sz w:val="22"/>
          <w:szCs w:val="22"/>
        </w:rPr>
        <w:t> </w:t>
      </w:r>
      <w:r w:rsidRPr="00117E02">
        <w:rPr>
          <w:rFonts w:cstheme="minorHAnsi"/>
          <w:sz w:val="22"/>
          <w:szCs w:val="22"/>
        </w:rPr>
        <w:t>% tehni</w:t>
      </w:r>
      <w:r w:rsidRPr="00117E02">
        <w:rPr>
          <w:sz w:val="22"/>
          <w:szCs w:val="22"/>
        </w:rPr>
        <w:t>č</w:t>
      </w:r>
      <w:r w:rsidRPr="00117E02">
        <w:rPr>
          <w:rFonts w:cstheme="minorHAnsi"/>
          <w:sz w:val="22"/>
          <w:szCs w:val="22"/>
        </w:rPr>
        <w:t>nega rezultata preteklega obra</w:t>
      </w:r>
      <w:r w:rsidRPr="00117E02">
        <w:rPr>
          <w:sz w:val="22"/>
          <w:szCs w:val="22"/>
        </w:rPr>
        <w:t>č</w:t>
      </w:r>
      <w:r w:rsidRPr="00117E02">
        <w:rPr>
          <w:rFonts w:cstheme="minorHAnsi"/>
          <w:sz w:val="22"/>
          <w:szCs w:val="22"/>
        </w:rPr>
        <w:t xml:space="preserve">unskega obdobja). </w:t>
      </w:r>
    </w:p>
    <w:p w14:paraId="49CA79F9" w14:textId="77777777" w:rsidR="00117E02" w:rsidRPr="00117E02" w:rsidRDefault="00117E02" w:rsidP="00117E02">
      <w:pPr>
        <w:ind w:firstLine="708"/>
        <w:jc w:val="both"/>
        <w:rPr>
          <w:rFonts w:cstheme="minorHAnsi"/>
          <w:sz w:val="22"/>
          <w:szCs w:val="22"/>
        </w:rPr>
      </w:pPr>
    </w:p>
    <w:p w14:paraId="77B621FE" w14:textId="77777777" w:rsidR="00117E02" w:rsidRPr="00117E02" w:rsidRDefault="00117E02" w:rsidP="00117E02">
      <w:pPr>
        <w:ind w:firstLine="708"/>
        <w:jc w:val="both"/>
        <w:rPr>
          <w:rFonts w:cstheme="minorHAnsi"/>
          <w:sz w:val="22"/>
          <w:szCs w:val="22"/>
        </w:rPr>
      </w:pPr>
      <w:r w:rsidRPr="00117E02">
        <w:rPr>
          <w:rFonts w:cstheme="minorHAnsi"/>
          <w:sz w:val="22"/>
          <w:szCs w:val="22"/>
        </w:rPr>
        <w:t>»</w:t>
      </w:r>
      <w:proofErr w:type="spellStart"/>
      <w:r w:rsidRPr="00117E02">
        <w:rPr>
          <w:rFonts w:cstheme="minorHAnsi"/>
          <w:sz w:val="22"/>
          <w:szCs w:val="22"/>
        </w:rPr>
        <w:t>X.b</w:t>
      </w:r>
      <w:proofErr w:type="spellEnd"/>
      <w:r w:rsidRPr="00117E02">
        <w:rPr>
          <w:rFonts w:cstheme="minorHAnsi"/>
          <w:sz w:val="22"/>
          <w:szCs w:val="22"/>
        </w:rPr>
        <w:t xml:space="preserve"> Pripis zavarovancu nad 20 % matematične rezervacije ali 12 mesečnih rent«</w:t>
      </w:r>
    </w:p>
    <w:p w14:paraId="2142F3A1" w14:textId="77777777" w:rsidR="00117E02" w:rsidRPr="00117E02" w:rsidRDefault="00117E02" w:rsidP="00117E02">
      <w:pPr>
        <w:ind w:left="709" w:hanging="1"/>
        <w:jc w:val="both"/>
        <w:rPr>
          <w:rFonts w:cstheme="minorHAnsi"/>
          <w:sz w:val="22"/>
          <w:szCs w:val="22"/>
        </w:rPr>
      </w:pPr>
      <w:r w:rsidRPr="00117E02">
        <w:rPr>
          <w:rFonts w:cstheme="minorHAnsi"/>
          <w:sz w:val="22"/>
          <w:szCs w:val="22"/>
        </w:rPr>
        <w:t>V tej postavki se prikaže pripis zavarovancem, nad 20 % matematične rezervacije ali 12 mesečnih rent«, ki se izvede, ker je vsota nerazporejenih zneskov tehničnih rezultatov, ki je namenjena kritju izgub iz naslova negativnega tehničnega rezultata in po pripisu dobička v obliki povečanja pokojninskih rent presega vsote zneskov posameznega zavarovanca, ki se določijo tako:</w:t>
      </w:r>
    </w:p>
    <w:p w14:paraId="20891FC3" w14:textId="77777777" w:rsidR="00117E02" w:rsidRPr="00117E02" w:rsidRDefault="00117E02" w:rsidP="00117E02">
      <w:pPr>
        <w:pStyle w:val="ListParagraph"/>
        <w:numPr>
          <w:ilvl w:val="0"/>
          <w:numId w:val="15"/>
        </w:numPr>
        <w:spacing w:after="160" w:line="259" w:lineRule="auto"/>
        <w:jc w:val="both"/>
        <w:rPr>
          <w:rFonts w:cstheme="minorHAnsi"/>
          <w:sz w:val="22"/>
        </w:rPr>
      </w:pPr>
      <w:r w:rsidRPr="00117E02">
        <w:rPr>
          <w:rFonts w:cstheme="minorHAnsi"/>
          <w:sz w:val="22"/>
        </w:rPr>
        <w:t>znesek za posameznega zavarovanca je 20</w:t>
      </w:r>
      <w:r w:rsidRPr="00117E02">
        <w:rPr>
          <w:rFonts w:ascii="Arial" w:hAnsi="Arial" w:cs="Arial"/>
          <w:sz w:val="22"/>
        </w:rPr>
        <w:t> </w:t>
      </w:r>
      <w:r w:rsidRPr="00117E02">
        <w:rPr>
          <w:rFonts w:cstheme="minorHAnsi"/>
          <w:sz w:val="22"/>
        </w:rPr>
        <w:t>% njegove matemati</w:t>
      </w:r>
      <w:r w:rsidRPr="00117E02">
        <w:rPr>
          <w:rFonts w:cs="Trebuchet MS"/>
          <w:sz w:val="22"/>
        </w:rPr>
        <w:t>č</w:t>
      </w:r>
      <w:r w:rsidRPr="00117E02">
        <w:rPr>
          <w:rFonts w:cstheme="minorHAnsi"/>
          <w:sz w:val="22"/>
        </w:rPr>
        <w:t xml:space="preserve">ne rezervacije ali </w:t>
      </w:r>
    </w:p>
    <w:p w14:paraId="47943F20" w14:textId="77777777" w:rsidR="00117E02" w:rsidRPr="00117E02" w:rsidRDefault="00117E02" w:rsidP="00117E02">
      <w:pPr>
        <w:pStyle w:val="ListParagraph"/>
        <w:numPr>
          <w:ilvl w:val="0"/>
          <w:numId w:val="15"/>
        </w:numPr>
        <w:spacing w:after="160" w:line="259" w:lineRule="auto"/>
        <w:jc w:val="both"/>
        <w:rPr>
          <w:rFonts w:cstheme="minorHAnsi"/>
          <w:sz w:val="22"/>
        </w:rPr>
      </w:pPr>
      <w:r w:rsidRPr="00117E02">
        <w:rPr>
          <w:rFonts w:cstheme="minorHAnsi"/>
          <w:sz w:val="22"/>
        </w:rPr>
        <w:t>12 njegovih mesečnih rent, ki se izplačujejo, in sicer večji od obeh .</w:t>
      </w:r>
    </w:p>
    <w:p w14:paraId="1D468CD0" w14:textId="77777777" w:rsidR="00117E02" w:rsidRDefault="00117E02" w:rsidP="00117E02">
      <w:pPr>
        <w:pStyle w:val="ListParagraph"/>
        <w:ind w:left="1068"/>
        <w:jc w:val="both"/>
        <w:rPr>
          <w:rFonts w:cstheme="minorHAnsi"/>
          <w:sz w:val="22"/>
        </w:rPr>
      </w:pPr>
    </w:p>
    <w:p w14:paraId="76193165" w14:textId="77777777" w:rsidR="00117E02" w:rsidRPr="00117E02" w:rsidRDefault="00117E02" w:rsidP="00117E02">
      <w:pPr>
        <w:pStyle w:val="ListParagraph"/>
        <w:ind w:left="1068"/>
        <w:jc w:val="both"/>
        <w:rPr>
          <w:rFonts w:cstheme="minorHAnsi"/>
          <w:sz w:val="22"/>
        </w:rPr>
      </w:pPr>
    </w:p>
    <w:p w14:paraId="04B28AF8" w14:textId="77777777" w:rsidR="00117E02" w:rsidRPr="00117E02" w:rsidRDefault="00117E02" w:rsidP="00117E02">
      <w:pPr>
        <w:jc w:val="both"/>
        <w:rPr>
          <w:rFonts w:cstheme="minorHAnsi"/>
          <w:sz w:val="22"/>
          <w:szCs w:val="22"/>
        </w:rPr>
      </w:pPr>
      <w:r w:rsidRPr="00117E02">
        <w:rPr>
          <w:rFonts w:cstheme="minorHAnsi"/>
          <w:sz w:val="22"/>
          <w:szCs w:val="22"/>
        </w:rPr>
        <w:t>Postavka »XI. Nerazporejeni zneski tehničnih rezultatov tekočega leta«</w:t>
      </w:r>
    </w:p>
    <w:p w14:paraId="508A09AF" w14:textId="77777777" w:rsidR="00117E02" w:rsidRPr="00117E02" w:rsidRDefault="00117E02" w:rsidP="00117E02">
      <w:pPr>
        <w:ind w:firstLine="708"/>
        <w:jc w:val="both"/>
        <w:rPr>
          <w:rFonts w:cstheme="minorHAnsi"/>
          <w:sz w:val="22"/>
          <w:szCs w:val="22"/>
        </w:rPr>
      </w:pPr>
      <w:r w:rsidRPr="00117E02">
        <w:rPr>
          <w:rFonts w:cstheme="minorHAnsi"/>
          <w:sz w:val="22"/>
          <w:szCs w:val="22"/>
        </w:rPr>
        <w:t>V tej postavki se prikaže znesek nerazporejenega tehničnega rezultata tekočega leta, ki se nanaša na pozitiven rezultat sklada za dodatno pokojninsko zavarovanje v času izplačevanja rent, ki ni bil  pripisan zavarovancu. Torej gre za preostali del tehničnega rezultata tekočega leta, ki ostane, ko je že bil izveden pripis iz postavke »</w:t>
      </w:r>
      <w:proofErr w:type="spellStart"/>
      <w:r w:rsidRPr="00117E02">
        <w:rPr>
          <w:rFonts w:cstheme="minorHAnsi"/>
          <w:sz w:val="22"/>
          <w:szCs w:val="22"/>
        </w:rPr>
        <w:t>X.a</w:t>
      </w:r>
      <w:proofErr w:type="spellEnd"/>
      <w:r w:rsidRPr="00117E02">
        <w:rPr>
          <w:rFonts w:cstheme="minorHAnsi"/>
          <w:sz w:val="22"/>
          <w:szCs w:val="22"/>
        </w:rPr>
        <w:t xml:space="preserve"> Pripis zavarovancem v obliki povečane pokojninske rente« in postavke »</w:t>
      </w:r>
      <w:proofErr w:type="spellStart"/>
      <w:r w:rsidRPr="00117E02">
        <w:rPr>
          <w:rFonts w:cstheme="minorHAnsi"/>
          <w:sz w:val="22"/>
          <w:szCs w:val="22"/>
        </w:rPr>
        <w:t>X.b</w:t>
      </w:r>
      <w:proofErr w:type="spellEnd"/>
      <w:r w:rsidRPr="00117E02">
        <w:rPr>
          <w:rFonts w:cstheme="minorHAnsi"/>
          <w:sz w:val="22"/>
          <w:szCs w:val="22"/>
        </w:rPr>
        <w:t xml:space="preserve"> Pripis zavarovancu nad 20 % matematične rezervacije ali 12 mesečnih rent« (v kolikor je bil slednji izveden iz tehničnega rezultata tekočega leta).</w:t>
      </w:r>
    </w:p>
    <w:p w14:paraId="5AA26440" w14:textId="77777777" w:rsidR="00117E02" w:rsidRPr="00117E02" w:rsidRDefault="00117E02" w:rsidP="00117E02">
      <w:pPr>
        <w:jc w:val="both"/>
        <w:rPr>
          <w:rFonts w:cstheme="minorHAnsi"/>
          <w:sz w:val="22"/>
          <w:szCs w:val="22"/>
        </w:rPr>
      </w:pPr>
    </w:p>
    <w:p w14:paraId="731D94D3" w14:textId="77777777" w:rsidR="00117E02" w:rsidRPr="00117E02" w:rsidRDefault="00117E02" w:rsidP="00117E02">
      <w:pPr>
        <w:jc w:val="both"/>
        <w:rPr>
          <w:rFonts w:cstheme="minorHAnsi"/>
          <w:sz w:val="22"/>
          <w:szCs w:val="22"/>
        </w:rPr>
      </w:pPr>
      <w:r w:rsidRPr="00117E02">
        <w:rPr>
          <w:rFonts w:cstheme="minorHAnsi"/>
          <w:sz w:val="22"/>
          <w:szCs w:val="22"/>
        </w:rPr>
        <w:t>Postavka »XII. Rezultat sklada, ki pripada upravljavcu«</w:t>
      </w:r>
    </w:p>
    <w:p w14:paraId="50E345B5" w14:textId="77777777" w:rsidR="00117E02" w:rsidRPr="00117E02" w:rsidRDefault="00117E02" w:rsidP="00117E02">
      <w:pPr>
        <w:jc w:val="both"/>
        <w:rPr>
          <w:rFonts w:cstheme="minorHAnsi"/>
          <w:sz w:val="22"/>
          <w:szCs w:val="22"/>
        </w:rPr>
      </w:pPr>
      <w:r w:rsidRPr="00117E02">
        <w:rPr>
          <w:rFonts w:cstheme="minorHAnsi"/>
          <w:sz w:val="22"/>
          <w:szCs w:val="22"/>
        </w:rPr>
        <w:t>V omenjeni postavki se prikaže rezultat sklada obračunskega obdobja, ki pripada upravljavcu (</w:t>
      </w:r>
      <w:proofErr w:type="spellStart"/>
      <w:r w:rsidRPr="00117E02">
        <w:rPr>
          <w:rFonts w:cstheme="minorHAnsi"/>
          <w:sz w:val="22"/>
          <w:szCs w:val="22"/>
        </w:rPr>
        <w:t>max</w:t>
      </w:r>
      <w:proofErr w:type="spellEnd"/>
      <w:r w:rsidRPr="00117E02">
        <w:rPr>
          <w:rFonts w:cstheme="minorHAnsi"/>
          <w:sz w:val="22"/>
          <w:szCs w:val="22"/>
        </w:rPr>
        <w:t xml:space="preserve"> 10% tehničnega rezultata). </w:t>
      </w:r>
    </w:p>
    <w:p w14:paraId="39F60FB0" w14:textId="77777777" w:rsidR="00117E02" w:rsidRPr="00117E02" w:rsidRDefault="00117E02" w:rsidP="00117E02">
      <w:pPr>
        <w:jc w:val="both"/>
        <w:rPr>
          <w:rFonts w:cstheme="minorHAnsi"/>
          <w:sz w:val="22"/>
          <w:szCs w:val="22"/>
        </w:rPr>
      </w:pPr>
    </w:p>
    <w:p w14:paraId="2FC4B219" w14:textId="77777777" w:rsidR="00117E02" w:rsidRPr="00117E02" w:rsidRDefault="00117E02" w:rsidP="00117E02">
      <w:pPr>
        <w:jc w:val="both"/>
        <w:rPr>
          <w:rFonts w:cstheme="minorHAnsi"/>
          <w:b/>
          <w:bCs/>
          <w:sz w:val="22"/>
          <w:szCs w:val="22"/>
        </w:rPr>
      </w:pPr>
      <w:r w:rsidRPr="00117E02">
        <w:rPr>
          <w:rFonts w:cstheme="minorHAnsi"/>
          <w:b/>
          <w:bCs/>
          <w:sz w:val="22"/>
          <w:szCs w:val="22"/>
        </w:rPr>
        <w:t>Medletni računovodski izkazi</w:t>
      </w:r>
    </w:p>
    <w:p w14:paraId="27F136C9" w14:textId="77777777" w:rsidR="00117E02" w:rsidRPr="00117E02" w:rsidRDefault="00117E02" w:rsidP="00117E02">
      <w:pPr>
        <w:jc w:val="both"/>
        <w:rPr>
          <w:rFonts w:cstheme="minorHAnsi"/>
          <w:sz w:val="22"/>
          <w:szCs w:val="22"/>
        </w:rPr>
      </w:pPr>
      <w:r w:rsidRPr="00117E02">
        <w:rPr>
          <w:rFonts w:cstheme="minorHAnsi"/>
          <w:sz w:val="22"/>
          <w:szCs w:val="22"/>
        </w:rPr>
        <w:t xml:space="preserve">V primeru medletnih  računovodskih izkazov (torej na dan 31. marca, 30. junija, 30. septembra) se postavke X., </w:t>
      </w:r>
      <w:proofErr w:type="spellStart"/>
      <w:r w:rsidRPr="00117E02">
        <w:rPr>
          <w:rFonts w:cstheme="minorHAnsi"/>
          <w:sz w:val="22"/>
          <w:szCs w:val="22"/>
        </w:rPr>
        <w:t>X.a</w:t>
      </w:r>
      <w:proofErr w:type="spellEnd"/>
      <w:r w:rsidRPr="00117E02">
        <w:rPr>
          <w:rFonts w:cstheme="minorHAnsi"/>
          <w:sz w:val="22"/>
          <w:szCs w:val="22"/>
        </w:rPr>
        <w:t xml:space="preserve">, </w:t>
      </w:r>
      <w:proofErr w:type="spellStart"/>
      <w:r w:rsidRPr="00117E02">
        <w:rPr>
          <w:rFonts w:cstheme="minorHAnsi"/>
          <w:sz w:val="22"/>
          <w:szCs w:val="22"/>
        </w:rPr>
        <w:t>X.b</w:t>
      </w:r>
      <w:proofErr w:type="spellEnd"/>
      <w:r w:rsidRPr="00117E02">
        <w:rPr>
          <w:rFonts w:cstheme="minorHAnsi"/>
          <w:sz w:val="22"/>
          <w:szCs w:val="22"/>
        </w:rPr>
        <w:t>, XI. In XII. ne izpolnjujejo.</w:t>
      </w:r>
    </w:p>
    <w:p w14:paraId="6BCF7E5B" w14:textId="77777777" w:rsidR="00117E02" w:rsidRPr="00117E02" w:rsidRDefault="00117E02" w:rsidP="00117E02">
      <w:pPr>
        <w:jc w:val="both"/>
        <w:rPr>
          <w:rFonts w:cstheme="minorHAnsi"/>
          <w:sz w:val="22"/>
          <w:szCs w:val="22"/>
        </w:rPr>
      </w:pPr>
    </w:p>
    <w:p w14:paraId="3C652970" w14:textId="77777777" w:rsidR="00117E02" w:rsidRPr="00117E02" w:rsidRDefault="00117E02" w:rsidP="00117E02">
      <w:pPr>
        <w:jc w:val="both"/>
        <w:rPr>
          <w:rFonts w:cstheme="minorHAnsi"/>
          <w:b/>
          <w:bCs/>
          <w:sz w:val="22"/>
          <w:szCs w:val="22"/>
        </w:rPr>
      </w:pPr>
      <w:r w:rsidRPr="00117E02">
        <w:rPr>
          <w:rFonts w:cstheme="minorHAnsi"/>
          <w:b/>
          <w:bCs/>
          <w:sz w:val="22"/>
          <w:szCs w:val="22"/>
        </w:rPr>
        <w:t>Primer pravilnega prikaza:</w:t>
      </w:r>
    </w:p>
    <w:tbl>
      <w:tblPr>
        <w:tblStyle w:val="TableGrid"/>
        <w:tblW w:w="9067" w:type="dxa"/>
        <w:tblLook w:val="04A0" w:firstRow="1" w:lastRow="0" w:firstColumn="1" w:lastColumn="0" w:noHBand="0" w:noVBand="1"/>
      </w:tblPr>
      <w:tblGrid>
        <w:gridCol w:w="279"/>
        <w:gridCol w:w="5386"/>
        <w:gridCol w:w="3402"/>
      </w:tblGrid>
      <w:tr w:rsidR="00117E02" w:rsidRPr="00117E02" w14:paraId="5D16E897" w14:textId="77777777" w:rsidTr="0046494E">
        <w:trPr>
          <w:trHeight w:val="435"/>
        </w:trPr>
        <w:tc>
          <w:tcPr>
            <w:tcW w:w="279" w:type="dxa"/>
            <w:noWrap/>
          </w:tcPr>
          <w:p w14:paraId="0FF37B77" w14:textId="77777777" w:rsidR="00117E02" w:rsidRPr="00117E02" w:rsidRDefault="00117E02" w:rsidP="0046494E">
            <w:pPr>
              <w:jc w:val="both"/>
              <w:rPr>
                <w:rFonts w:cstheme="minorHAnsi"/>
                <w:sz w:val="22"/>
                <w:szCs w:val="22"/>
              </w:rPr>
            </w:pPr>
          </w:p>
        </w:tc>
        <w:tc>
          <w:tcPr>
            <w:tcW w:w="5386" w:type="dxa"/>
            <w:noWrap/>
          </w:tcPr>
          <w:p w14:paraId="0AD44C8A" w14:textId="77777777" w:rsidR="00117E02" w:rsidRPr="00117E02" w:rsidRDefault="00117E02" w:rsidP="0046494E">
            <w:pPr>
              <w:jc w:val="both"/>
              <w:rPr>
                <w:rFonts w:cstheme="minorHAnsi"/>
                <w:sz w:val="22"/>
                <w:szCs w:val="22"/>
              </w:rPr>
            </w:pPr>
            <w:r w:rsidRPr="00117E02">
              <w:rPr>
                <w:rFonts w:cstheme="minorHAnsi"/>
                <w:sz w:val="22"/>
                <w:szCs w:val="22"/>
              </w:rPr>
              <w:t>2.2.c) Prikaz izida sklada</w:t>
            </w:r>
          </w:p>
        </w:tc>
        <w:tc>
          <w:tcPr>
            <w:tcW w:w="3402" w:type="dxa"/>
          </w:tcPr>
          <w:p w14:paraId="0D89087A" w14:textId="77777777" w:rsidR="00117E02" w:rsidRPr="00117E02" w:rsidRDefault="00117E02" w:rsidP="0046494E">
            <w:pPr>
              <w:jc w:val="right"/>
              <w:rPr>
                <w:rFonts w:cstheme="minorHAnsi"/>
                <w:sz w:val="22"/>
                <w:szCs w:val="22"/>
              </w:rPr>
            </w:pPr>
          </w:p>
        </w:tc>
      </w:tr>
      <w:tr w:rsidR="00117E02" w:rsidRPr="00117E02" w14:paraId="7D6133DB" w14:textId="77777777" w:rsidTr="0046494E">
        <w:trPr>
          <w:trHeight w:val="435"/>
        </w:trPr>
        <w:tc>
          <w:tcPr>
            <w:tcW w:w="279" w:type="dxa"/>
            <w:noWrap/>
            <w:hideMark/>
          </w:tcPr>
          <w:p w14:paraId="52E5D281" w14:textId="77777777" w:rsidR="00117E02" w:rsidRPr="00117E02" w:rsidRDefault="00117E02" w:rsidP="0046494E">
            <w:pPr>
              <w:jc w:val="both"/>
              <w:rPr>
                <w:rFonts w:cstheme="minorHAnsi"/>
                <w:sz w:val="22"/>
                <w:szCs w:val="22"/>
              </w:rPr>
            </w:pPr>
          </w:p>
        </w:tc>
        <w:tc>
          <w:tcPr>
            <w:tcW w:w="5386" w:type="dxa"/>
            <w:noWrap/>
            <w:hideMark/>
          </w:tcPr>
          <w:p w14:paraId="55C97D0C" w14:textId="77777777" w:rsidR="00117E02" w:rsidRPr="00117E02" w:rsidRDefault="00117E02" w:rsidP="0046494E">
            <w:pPr>
              <w:jc w:val="both"/>
              <w:rPr>
                <w:rFonts w:cstheme="minorHAnsi"/>
                <w:sz w:val="22"/>
                <w:szCs w:val="22"/>
              </w:rPr>
            </w:pPr>
            <w:r w:rsidRPr="00117E02">
              <w:rPr>
                <w:rFonts w:cstheme="minorHAnsi"/>
                <w:sz w:val="22"/>
                <w:szCs w:val="22"/>
              </w:rPr>
              <w:t>IX. Izid sklada pred pripisom dobička</w:t>
            </w:r>
          </w:p>
        </w:tc>
        <w:tc>
          <w:tcPr>
            <w:tcW w:w="3402" w:type="dxa"/>
          </w:tcPr>
          <w:p w14:paraId="2DCF1B90" w14:textId="77777777" w:rsidR="00117E02" w:rsidRPr="00117E02" w:rsidRDefault="00117E02" w:rsidP="0046494E">
            <w:pPr>
              <w:jc w:val="right"/>
              <w:rPr>
                <w:rFonts w:cstheme="minorHAnsi"/>
                <w:sz w:val="22"/>
                <w:szCs w:val="22"/>
              </w:rPr>
            </w:pPr>
            <w:r w:rsidRPr="00117E02">
              <w:rPr>
                <w:rFonts w:cstheme="minorHAnsi"/>
                <w:sz w:val="22"/>
                <w:szCs w:val="22"/>
              </w:rPr>
              <w:t>20</w:t>
            </w:r>
          </w:p>
        </w:tc>
      </w:tr>
      <w:tr w:rsidR="00117E02" w:rsidRPr="00117E02" w14:paraId="23566E91" w14:textId="77777777" w:rsidTr="0046494E">
        <w:trPr>
          <w:trHeight w:val="435"/>
        </w:trPr>
        <w:tc>
          <w:tcPr>
            <w:tcW w:w="279" w:type="dxa"/>
            <w:noWrap/>
            <w:hideMark/>
          </w:tcPr>
          <w:p w14:paraId="150F62E1" w14:textId="77777777" w:rsidR="00117E02" w:rsidRPr="00117E02" w:rsidRDefault="00117E02" w:rsidP="0046494E">
            <w:pPr>
              <w:jc w:val="both"/>
              <w:rPr>
                <w:rFonts w:cstheme="minorHAnsi"/>
                <w:sz w:val="22"/>
                <w:szCs w:val="22"/>
              </w:rPr>
            </w:pPr>
          </w:p>
        </w:tc>
        <w:tc>
          <w:tcPr>
            <w:tcW w:w="5386" w:type="dxa"/>
            <w:noWrap/>
            <w:hideMark/>
          </w:tcPr>
          <w:p w14:paraId="0A511135" w14:textId="77777777" w:rsidR="00117E02" w:rsidRPr="00117E02" w:rsidRDefault="00117E02" w:rsidP="0046494E">
            <w:pPr>
              <w:jc w:val="both"/>
              <w:rPr>
                <w:rFonts w:cstheme="minorHAnsi"/>
                <w:sz w:val="22"/>
                <w:szCs w:val="22"/>
              </w:rPr>
            </w:pPr>
            <w:r w:rsidRPr="00117E02">
              <w:rPr>
                <w:rFonts w:cstheme="minorHAnsi"/>
                <w:sz w:val="22"/>
                <w:szCs w:val="22"/>
              </w:rPr>
              <w:t>X. Pripis dobička tekočega leta, od tega</w:t>
            </w:r>
          </w:p>
        </w:tc>
        <w:tc>
          <w:tcPr>
            <w:tcW w:w="3402" w:type="dxa"/>
          </w:tcPr>
          <w:p w14:paraId="630DCBF5" w14:textId="77777777" w:rsidR="00117E02" w:rsidRPr="00117E02" w:rsidRDefault="00117E02" w:rsidP="0046494E">
            <w:pPr>
              <w:jc w:val="right"/>
              <w:rPr>
                <w:rFonts w:cstheme="minorHAnsi"/>
                <w:sz w:val="22"/>
                <w:szCs w:val="22"/>
              </w:rPr>
            </w:pPr>
            <w:r w:rsidRPr="00117E02">
              <w:rPr>
                <w:rFonts w:cstheme="minorHAnsi"/>
                <w:sz w:val="22"/>
                <w:szCs w:val="22"/>
              </w:rPr>
              <w:t>13 = 20 x 0,9 x 0,5 + 4*</w:t>
            </w:r>
          </w:p>
        </w:tc>
      </w:tr>
      <w:tr w:rsidR="00117E02" w:rsidRPr="00117E02" w14:paraId="78845354" w14:textId="77777777" w:rsidTr="0046494E">
        <w:trPr>
          <w:trHeight w:val="435"/>
        </w:trPr>
        <w:tc>
          <w:tcPr>
            <w:tcW w:w="279" w:type="dxa"/>
            <w:noWrap/>
            <w:hideMark/>
          </w:tcPr>
          <w:p w14:paraId="45DC6E1E" w14:textId="77777777" w:rsidR="00117E02" w:rsidRPr="00117E02" w:rsidRDefault="00117E02" w:rsidP="0046494E">
            <w:pPr>
              <w:jc w:val="both"/>
              <w:rPr>
                <w:rFonts w:cstheme="minorHAnsi"/>
                <w:sz w:val="22"/>
                <w:szCs w:val="22"/>
              </w:rPr>
            </w:pPr>
          </w:p>
        </w:tc>
        <w:tc>
          <w:tcPr>
            <w:tcW w:w="5386" w:type="dxa"/>
            <w:noWrap/>
            <w:hideMark/>
          </w:tcPr>
          <w:p w14:paraId="34794CA4" w14:textId="77777777" w:rsidR="00117E02" w:rsidRPr="00117E02" w:rsidRDefault="00117E02" w:rsidP="0046494E">
            <w:pPr>
              <w:jc w:val="both"/>
              <w:rPr>
                <w:rFonts w:cstheme="minorHAnsi"/>
                <w:sz w:val="22"/>
                <w:szCs w:val="22"/>
              </w:rPr>
            </w:pPr>
            <w:proofErr w:type="spellStart"/>
            <w:r w:rsidRPr="00117E02">
              <w:rPr>
                <w:rFonts w:cstheme="minorHAnsi"/>
                <w:sz w:val="22"/>
                <w:szCs w:val="22"/>
              </w:rPr>
              <w:t>X.a</w:t>
            </w:r>
            <w:proofErr w:type="spellEnd"/>
            <w:r w:rsidRPr="00117E02">
              <w:rPr>
                <w:rFonts w:cstheme="minorHAnsi"/>
                <w:sz w:val="22"/>
                <w:szCs w:val="22"/>
              </w:rPr>
              <w:t xml:space="preserve"> Pripis zavarovancem v obliki povečane pokojninske rente, ki izvira iz tekočega leta</w:t>
            </w:r>
          </w:p>
        </w:tc>
        <w:tc>
          <w:tcPr>
            <w:tcW w:w="3402" w:type="dxa"/>
          </w:tcPr>
          <w:p w14:paraId="2C7DFDF4" w14:textId="77777777" w:rsidR="00117E02" w:rsidRPr="00117E02" w:rsidRDefault="00117E02" w:rsidP="0046494E">
            <w:pPr>
              <w:jc w:val="right"/>
              <w:rPr>
                <w:rFonts w:cstheme="minorHAnsi"/>
                <w:sz w:val="22"/>
                <w:szCs w:val="22"/>
              </w:rPr>
            </w:pPr>
            <w:r w:rsidRPr="00117E02">
              <w:rPr>
                <w:rFonts w:cstheme="minorHAnsi"/>
                <w:sz w:val="22"/>
                <w:szCs w:val="22"/>
              </w:rPr>
              <w:t>9 = 20 x 0,9 x 0,5</w:t>
            </w:r>
          </w:p>
        </w:tc>
      </w:tr>
      <w:tr w:rsidR="00117E02" w:rsidRPr="00117E02" w14:paraId="69914487" w14:textId="77777777" w:rsidTr="0046494E">
        <w:trPr>
          <w:trHeight w:val="435"/>
        </w:trPr>
        <w:tc>
          <w:tcPr>
            <w:tcW w:w="279" w:type="dxa"/>
            <w:noWrap/>
            <w:hideMark/>
          </w:tcPr>
          <w:p w14:paraId="077DA79E" w14:textId="77777777" w:rsidR="00117E02" w:rsidRPr="00117E02" w:rsidRDefault="00117E02" w:rsidP="0046494E">
            <w:pPr>
              <w:jc w:val="both"/>
              <w:rPr>
                <w:rFonts w:cstheme="minorHAnsi"/>
                <w:sz w:val="22"/>
                <w:szCs w:val="22"/>
              </w:rPr>
            </w:pPr>
          </w:p>
        </w:tc>
        <w:tc>
          <w:tcPr>
            <w:tcW w:w="5386" w:type="dxa"/>
            <w:noWrap/>
            <w:hideMark/>
          </w:tcPr>
          <w:p w14:paraId="7A9413AA" w14:textId="77777777" w:rsidR="00117E02" w:rsidRPr="00117E02" w:rsidRDefault="00117E02" w:rsidP="0046494E">
            <w:pPr>
              <w:jc w:val="both"/>
              <w:rPr>
                <w:rFonts w:cstheme="minorHAnsi"/>
                <w:sz w:val="22"/>
                <w:szCs w:val="22"/>
              </w:rPr>
            </w:pPr>
            <w:proofErr w:type="spellStart"/>
            <w:r w:rsidRPr="00117E02">
              <w:rPr>
                <w:rFonts w:cstheme="minorHAnsi"/>
                <w:sz w:val="22"/>
                <w:szCs w:val="22"/>
              </w:rPr>
              <w:t>X.b</w:t>
            </w:r>
            <w:proofErr w:type="spellEnd"/>
            <w:r w:rsidRPr="00117E02">
              <w:rPr>
                <w:rFonts w:cstheme="minorHAnsi"/>
                <w:sz w:val="22"/>
                <w:szCs w:val="22"/>
              </w:rPr>
              <w:t xml:space="preserve"> Pripis zavarovancem nad 20 % matematične rezervacije ali 12 mesečnih rent</w:t>
            </w:r>
          </w:p>
        </w:tc>
        <w:tc>
          <w:tcPr>
            <w:tcW w:w="3402" w:type="dxa"/>
          </w:tcPr>
          <w:p w14:paraId="1DC35499" w14:textId="77777777" w:rsidR="00117E02" w:rsidRPr="00117E02" w:rsidRDefault="00117E02" w:rsidP="0046494E">
            <w:pPr>
              <w:jc w:val="both"/>
              <w:rPr>
                <w:rFonts w:cstheme="minorHAnsi"/>
                <w:sz w:val="22"/>
                <w:szCs w:val="22"/>
              </w:rPr>
            </w:pPr>
            <w:r w:rsidRPr="00117E02">
              <w:rPr>
                <w:rFonts w:cstheme="minorHAnsi"/>
                <w:sz w:val="22"/>
                <w:szCs w:val="22"/>
              </w:rPr>
              <w:t>4; Predpostavka: Vsota nerazporejenih zneskov tehničnih rezultatov je večja od vsote zneskov posameznega zavarovanca, kot je določeno v zadnjem stavku drugega odstavka 9. člena (Pravilnika). Pripis zavarovancem se oblikuje iz nerazporejenega zneska tehničnih rezultatov preteklih let.</w:t>
            </w:r>
          </w:p>
        </w:tc>
      </w:tr>
      <w:tr w:rsidR="00117E02" w:rsidRPr="00117E02" w14:paraId="26FDEFED" w14:textId="77777777" w:rsidTr="0046494E">
        <w:trPr>
          <w:trHeight w:val="435"/>
        </w:trPr>
        <w:tc>
          <w:tcPr>
            <w:tcW w:w="279" w:type="dxa"/>
            <w:noWrap/>
            <w:hideMark/>
          </w:tcPr>
          <w:p w14:paraId="04FECBCF" w14:textId="77777777" w:rsidR="00117E02" w:rsidRPr="00117E02" w:rsidRDefault="00117E02" w:rsidP="0046494E">
            <w:pPr>
              <w:jc w:val="both"/>
              <w:rPr>
                <w:rFonts w:cstheme="minorHAnsi"/>
                <w:sz w:val="22"/>
                <w:szCs w:val="22"/>
              </w:rPr>
            </w:pPr>
          </w:p>
        </w:tc>
        <w:tc>
          <w:tcPr>
            <w:tcW w:w="5386" w:type="dxa"/>
            <w:noWrap/>
            <w:hideMark/>
          </w:tcPr>
          <w:p w14:paraId="3DDD72BB" w14:textId="77777777" w:rsidR="00117E02" w:rsidRPr="00117E02" w:rsidRDefault="00117E02" w:rsidP="0046494E">
            <w:pPr>
              <w:jc w:val="both"/>
              <w:rPr>
                <w:rFonts w:cstheme="minorHAnsi"/>
                <w:sz w:val="22"/>
                <w:szCs w:val="22"/>
              </w:rPr>
            </w:pPr>
            <w:r w:rsidRPr="00117E02">
              <w:rPr>
                <w:rFonts w:cstheme="minorHAnsi"/>
                <w:sz w:val="22"/>
                <w:szCs w:val="22"/>
              </w:rPr>
              <w:t>XI. Nerazporejeni znesek tehničnega rezultata tekočega leta</w:t>
            </w:r>
          </w:p>
        </w:tc>
        <w:tc>
          <w:tcPr>
            <w:tcW w:w="3402" w:type="dxa"/>
          </w:tcPr>
          <w:p w14:paraId="7387420D" w14:textId="77777777" w:rsidR="00117E02" w:rsidRPr="00117E02" w:rsidRDefault="00117E02" w:rsidP="0046494E">
            <w:pPr>
              <w:jc w:val="right"/>
              <w:rPr>
                <w:rFonts w:cstheme="minorHAnsi"/>
                <w:sz w:val="22"/>
                <w:szCs w:val="22"/>
              </w:rPr>
            </w:pPr>
            <w:r w:rsidRPr="00117E02">
              <w:rPr>
                <w:rFonts w:cstheme="minorHAnsi"/>
                <w:sz w:val="22"/>
                <w:szCs w:val="22"/>
              </w:rPr>
              <w:t>9 = 20 x 0,9 x 0,5</w:t>
            </w:r>
          </w:p>
        </w:tc>
      </w:tr>
      <w:tr w:rsidR="00117E02" w:rsidRPr="00117E02" w14:paraId="59AC77D2" w14:textId="77777777" w:rsidTr="0046494E">
        <w:trPr>
          <w:trHeight w:val="435"/>
        </w:trPr>
        <w:tc>
          <w:tcPr>
            <w:tcW w:w="279" w:type="dxa"/>
            <w:noWrap/>
            <w:hideMark/>
          </w:tcPr>
          <w:p w14:paraId="76EA0CAB" w14:textId="77777777" w:rsidR="00117E02" w:rsidRPr="00117E02" w:rsidRDefault="00117E02" w:rsidP="0046494E">
            <w:pPr>
              <w:jc w:val="both"/>
              <w:rPr>
                <w:rFonts w:cstheme="minorHAnsi"/>
                <w:sz w:val="22"/>
                <w:szCs w:val="22"/>
              </w:rPr>
            </w:pPr>
          </w:p>
        </w:tc>
        <w:tc>
          <w:tcPr>
            <w:tcW w:w="5386" w:type="dxa"/>
            <w:noWrap/>
            <w:hideMark/>
          </w:tcPr>
          <w:p w14:paraId="0BF4F775" w14:textId="77777777" w:rsidR="00117E02" w:rsidRPr="00117E02" w:rsidRDefault="00117E02" w:rsidP="0046494E">
            <w:pPr>
              <w:jc w:val="both"/>
              <w:rPr>
                <w:rFonts w:cstheme="minorHAnsi"/>
                <w:sz w:val="22"/>
                <w:szCs w:val="22"/>
              </w:rPr>
            </w:pPr>
            <w:r w:rsidRPr="00117E02">
              <w:rPr>
                <w:rFonts w:cstheme="minorHAnsi"/>
                <w:sz w:val="22"/>
                <w:szCs w:val="22"/>
              </w:rPr>
              <w:t xml:space="preserve">XII. Rezultat sklada, ki pripada upravljavcu </w:t>
            </w:r>
          </w:p>
        </w:tc>
        <w:tc>
          <w:tcPr>
            <w:tcW w:w="3402" w:type="dxa"/>
          </w:tcPr>
          <w:p w14:paraId="4FC5F661" w14:textId="77777777" w:rsidR="00117E02" w:rsidRPr="00117E02" w:rsidRDefault="00117E02" w:rsidP="0046494E">
            <w:pPr>
              <w:jc w:val="right"/>
              <w:rPr>
                <w:rFonts w:cstheme="minorHAnsi"/>
                <w:sz w:val="22"/>
                <w:szCs w:val="22"/>
              </w:rPr>
            </w:pPr>
            <w:r w:rsidRPr="00117E02">
              <w:rPr>
                <w:rFonts w:cstheme="minorHAnsi"/>
                <w:sz w:val="22"/>
                <w:szCs w:val="22"/>
              </w:rPr>
              <w:t>2 = 20 - 9 - 9</w:t>
            </w:r>
          </w:p>
          <w:p w14:paraId="7889CDE3" w14:textId="77777777" w:rsidR="00117E02" w:rsidRPr="00117E02" w:rsidRDefault="00117E02" w:rsidP="0046494E">
            <w:pPr>
              <w:jc w:val="right"/>
              <w:rPr>
                <w:rFonts w:cstheme="minorHAnsi"/>
                <w:sz w:val="22"/>
                <w:szCs w:val="22"/>
              </w:rPr>
            </w:pPr>
            <w:r w:rsidRPr="00117E02">
              <w:rPr>
                <w:rFonts w:cstheme="minorHAnsi"/>
                <w:sz w:val="22"/>
                <w:szCs w:val="22"/>
              </w:rPr>
              <w:t>ali 2 = 20 x 0,1**</w:t>
            </w:r>
          </w:p>
        </w:tc>
      </w:tr>
    </w:tbl>
    <w:p w14:paraId="487DA4F5" w14:textId="77777777" w:rsidR="00117E02" w:rsidRPr="00117E02" w:rsidRDefault="00117E02" w:rsidP="00117E02">
      <w:pPr>
        <w:pStyle w:val="ListParagraph"/>
        <w:ind w:left="0"/>
        <w:jc w:val="both"/>
        <w:rPr>
          <w:rFonts w:cstheme="minorHAnsi"/>
          <w:sz w:val="22"/>
        </w:rPr>
      </w:pPr>
      <w:r w:rsidRPr="00117E02">
        <w:rPr>
          <w:rFonts w:cstheme="minorHAnsi"/>
          <w:sz w:val="22"/>
        </w:rPr>
        <w:t xml:space="preserve">* Glej </w:t>
      </w:r>
      <w:proofErr w:type="spellStart"/>
      <w:r w:rsidRPr="00117E02">
        <w:rPr>
          <w:rFonts w:cstheme="minorHAnsi"/>
          <w:sz w:val="22"/>
        </w:rPr>
        <w:t>X.b</w:t>
      </w:r>
      <w:proofErr w:type="spellEnd"/>
    </w:p>
    <w:p w14:paraId="172E138A" w14:textId="77777777" w:rsidR="00117E02" w:rsidRPr="00117E02" w:rsidRDefault="00117E02" w:rsidP="00117E02">
      <w:pPr>
        <w:pStyle w:val="ListParagraph"/>
        <w:ind w:left="0"/>
        <w:jc w:val="both"/>
        <w:rPr>
          <w:rFonts w:cstheme="minorHAnsi"/>
          <w:sz w:val="22"/>
        </w:rPr>
      </w:pPr>
      <w:r w:rsidRPr="00117E02">
        <w:rPr>
          <w:rFonts w:cstheme="minorHAnsi"/>
          <w:sz w:val="22"/>
        </w:rPr>
        <w:t>** Predpostavka, da izvajalcu pokojninskega načrta pripada 10% rezultata sklada.</w:t>
      </w:r>
    </w:p>
    <w:p w14:paraId="653018E9" w14:textId="77777777" w:rsidR="00117E02" w:rsidRDefault="00117E02" w:rsidP="00117E02">
      <w:pPr>
        <w:jc w:val="both"/>
        <w:rPr>
          <w:rFonts w:cstheme="minorHAnsi"/>
          <w:sz w:val="22"/>
          <w:szCs w:val="22"/>
        </w:rPr>
      </w:pPr>
    </w:p>
    <w:p w14:paraId="5DB04203" w14:textId="4A5620AB" w:rsidR="00117E02" w:rsidRPr="00117E02" w:rsidRDefault="00117E02" w:rsidP="00117E02">
      <w:pPr>
        <w:jc w:val="both"/>
        <w:rPr>
          <w:rFonts w:cstheme="minorHAnsi"/>
          <w:sz w:val="22"/>
          <w:szCs w:val="22"/>
        </w:rPr>
      </w:pPr>
      <w:r w:rsidRPr="00117E02">
        <w:rPr>
          <w:rFonts w:cstheme="minorHAnsi"/>
          <w:sz w:val="22"/>
          <w:szCs w:val="22"/>
        </w:rPr>
        <w:t xml:space="preserve">Na kritnem skladu je za tekoče obračunsko obdobje bil ugotovljeni rezultat 20 enot (poročano v postavki IX.). Od tega izvajalcu pokojninskega načrta pripada 10 %, oz. 2 enoti (poročano v postavki XII.). Za razporejanje preostane 18 enot. Od tega se je zavarovancem pripisalo 50 %, kar znaša 9 enot (poročano v postavki </w:t>
      </w:r>
      <w:proofErr w:type="spellStart"/>
      <w:r w:rsidRPr="00117E02">
        <w:rPr>
          <w:rFonts w:cstheme="minorHAnsi"/>
          <w:sz w:val="22"/>
          <w:szCs w:val="22"/>
        </w:rPr>
        <w:t>X.a</w:t>
      </w:r>
      <w:proofErr w:type="spellEnd"/>
      <w:r w:rsidRPr="00117E02">
        <w:rPr>
          <w:rFonts w:cstheme="minorHAnsi"/>
          <w:sz w:val="22"/>
          <w:szCs w:val="22"/>
        </w:rPr>
        <w:t xml:space="preserve">). Prav tako je v tem obračunskem obdobju bilo ugotovljeno, da so </w:t>
      </w:r>
      <w:r w:rsidRPr="00117E02">
        <w:rPr>
          <w:rFonts w:cstheme="minorHAnsi"/>
          <w:sz w:val="22"/>
          <w:szCs w:val="22"/>
        </w:rPr>
        <w:lastRenderedPageBreak/>
        <w:t xml:space="preserve">zavarovancem morali pripisati nerazporejene tehnične rezultate iz preteklih let, in sicer 4 enote (poročano v postavki </w:t>
      </w:r>
      <w:proofErr w:type="spellStart"/>
      <w:r w:rsidRPr="00117E02">
        <w:rPr>
          <w:rFonts w:cstheme="minorHAnsi"/>
          <w:sz w:val="22"/>
          <w:szCs w:val="22"/>
        </w:rPr>
        <w:t>X.b</w:t>
      </w:r>
      <w:proofErr w:type="spellEnd"/>
      <w:r w:rsidRPr="00117E02">
        <w:rPr>
          <w:rFonts w:cstheme="minorHAnsi"/>
          <w:sz w:val="22"/>
          <w:szCs w:val="22"/>
        </w:rPr>
        <w:t>).</w:t>
      </w:r>
    </w:p>
    <w:p w14:paraId="2AE66D9E" w14:textId="77777777" w:rsidR="00117E02" w:rsidRPr="00117E02" w:rsidRDefault="00117E02" w:rsidP="00235ABE">
      <w:pPr>
        <w:spacing w:after="0" w:line="300" w:lineRule="exact"/>
        <w:jc w:val="both"/>
        <w:rPr>
          <w:rFonts w:cstheme="minorHAnsi"/>
          <w:sz w:val="22"/>
          <w:szCs w:val="22"/>
        </w:rPr>
      </w:pPr>
    </w:p>
    <w:p w14:paraId="007B30AD" w14:textId="77777777" w:rsidR="00117E02" w:rsidRPr="00117E02" w:rsidRDefault="00117E02" w:rsidP="00235ABE">
      <w:pPr>
        <w:spacing w:after="0" w:line="300" w:lineRule="exact"/>
        <w:jc w:val="both"/>
        <w:rPr>
          <w:rFonts w:cstheme="minorHAnsi"/>
          <w:sz w:val="22"/>
          <w:szCs w:val="22"/>
        </w:rPr>
      </w:pPr>
    </w:p>
    <w:p w14:paraId="0EC671F4" w14:textId="77777777" w:rsidR="00DE0AB5" w:rsidRPr="00117E02" w:rsidRDefault="00DE0AB5" w:rsidP="00235ABE">
      <w:pPr>
        <w:spacing w:after="0" w:line="300" w:lineRule="exact"/>
        <w:rPr>
          <w:rFonts w:cstheme="minorHAnsi"/>
          <w:sz w:val="22"/>
          <w:szCs w:val="22"/>
        </w:rPr>
      </w:pPr>
    </w:p>
    <w:p w14:paraId="79EE4314" w14:textId="77777777" w:rsidR="007A44CA" w:rsidRPr="00117E02" w:rsidRDefault="007A44CA" w:rsidP="00235ABE">
      <w:pPr>
        <w:spacing w:after="0" w:line="300" w:lineRule="exact"/>
        <w:rPr>
          <w:rFonts w:cstheme="minorHAnsi"/>
          <w:sz w:val="22"/>
          <w:szCs w:val="22"/>
        </w:rPr>
      </w:pPr>
    </w:p>
    <w:p w14:paraId="6E0E52FD" w14:textId="1F9CA44A" w:rsidR="00DE0AB5" w:rsidRPr="00117E02" w:rsidRDefault="00DE0AB5" w:rsidP="00DE0AB5">
      <w:pPr>
        <w:spacing w:after="0" w:line="300" w:lineRule="exact"/>
        <w:ind w:left="6480"/>
        <w:rPr>
          <w:rFonts w:cstheme="minorHAnsi"/>
          <w:sz w:val="22"/>
          <w:szCs w:val="22"/>
        </w:rPr>
      </w:pPr>
      <w:r w:rsidRPr="00117E02">
        <w:rPr>
          <w:rFonts w:cstheme="minorHAnsi"/>
          <w:sz w:val="22"/>
          <w:szCs w:val="22"/>
        </w:rPr>
        <w:t xml:space="preserve">  </w:t>
      </w:r>
      <w:r w:rsidR="00C75008" w:rsidRPr="00117E02">
        <w:rPr>
          <w:rFonts w:cstheme="minorHAnsi"/>
          <w:sz w:val="22"/>
          <w:szCs w:val="22"/>
        </w:rPr>
        <w:t xml:space="preserve">   </w:t>
      </w:r>
      <w:r w:rsidR="007A44CA" w:rsidRPr="00117E02">
        <w:rPr>
          <w:rFonts w:cstheme="minorHAnsi"/>
          <w:sz w:val="22"/>
          <w:szCs w:val="22"/>
        </w:rPr>
        <w:t>m</w:t>
      </w:r>
      <w:r w:rsidR="00CE62E6" w:rsidRPr="00117E02">
        <w:rPr>
          <w:rFonts w:cstheme="minorHAnsi"/>
          <w:sz w:val="22"/>
          <w:szCs w:val="22"/>
        </w:rPr>
        <w:t>ag</w:t>
      </w:r>
      <w:r w:rsidR="007A44CA" w:rsidRPr="00117E02">
        <w:rPr>
          <w:rFonts w:cstheme="minorHAnsi"/>
          <w:sz w:val="22"/>
          <w:szCs w:val="22"/>
        </w:rPr>
        <w:t>.</w:t>
      </w:r>
      <w:r w:rsidR="00CE62E6" w:rsidRPr="00117E02">
        <w:rPr>
          <w:rFonts w:cstheme="minorHAnsi"/>
          <w:sz w:val="22"/>
          <w:szCs w:val="22"/>
        </w:rPr>
        <w:t xml:space="preserve"> Gorazd Čibej</w:t>
      </w:r>
    </w:p>
    <w:p w14:paraId="36929A57" w14:textId="5C7901C7" w:rsidR="00DE0AB5" w:rsidRPr="00117E02" w:rsidRDefault="00DE0AB5" w:rsidP="00DE0AB5">
      <w:pPr>
        <w:spacing w:after="0" w:line="300" w:lineRule="exact"/>
        <w:rPr>
          <w:rFonts w:cstheme="minorHAnsi"/>
          <w:sz w:val="22"/>
          <w:szCs w:val="22"/>
        </w:rPr>
      </w:pP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00CE62E6" w:rsidRPr="00117E02">
        <w:rPr>
          <w:rFonts w:cstheme="minorHAnsi"/>
          <w:sz w:val="22"/>
          <w:szCs w:val="22"/>
        </w:rPr>
        <w:t xml:space="preserve">           </w:t>
      </w:r>
      <w:r w:rsidRPr="00117E02">
        <w:rPr>
          <w:rFonts w:cstheme="minorHAnsi"/>
          <w:sz w:val="22"/>
          <w:szCs w:val="22"/>
        </w:rPr>
        <w:t>direktor</w:t>
      </w:r>
    </w:p>
    <w:p w14:paraId="3137BAC5" w14:textId="77777777" w:rsidR="00DE0AB5" w:rsidRPr="00117E02" w:rsidRDefault="00DE0AB5" w:rsidP="00235ABE">
      <w:pPr>
        <w:spacing w:after="0" w:line="300" w:lineRule="exact"/>
        <w:rPr>
          <w:rFonts w:cstheme="minorHAnsi"/>
          <w:sz w:val="22"/>
          <w:szCs w:val="22"/>
        </w:rPr>
      </w:pPr>
    </w:p>
    <w:p w14:paraId="6F8CD3A9" w14:textId="77777777" w:rsidR="00E8046A" w:rsidRPr="00117E02" w:rsidRDefault="00E8046A" w:rsidP="00E8046A">
      <w:pPr>
        <w:spacing w:after="0" w:line="300" w:lineRule="exact"/>
        <w:contextualSpacing/>
        <w:jc w:val="both"/>
        <w:rPr>
          <w:rFonts w:cstheme="minorHAnsi"/>
          <w:sz w:val="22"/>
          <w:szCs w:val="22"/>
        </w:rPr>
      </w:pPr>
      <w:r w:rsidRPr="00117E02">
        <w:rPr>
          <w:rFonts w:cstheme="minorHAnsi"/>
          <w:sz w:val="22"/>
          <w:szCs w:val="22"/>
        </w:rPr>
        <w:t>Vročiti:</w:t>
      </w:r>
    </w:p>
    <w:p w14:paraId="08A0E3BF" w14:textId="0F70F1BB" w:rsidR="00E8046A" w:rsidRPr="00117E02" w:rsidRDefault="00117E02" w:rsidP="00E8046A">
      <w:pPr>
        <w:pStyle w:val="Brezrazmikov1"/>
        <w:numPr>
          <w:ilvl w:val="0"/>
          <w:numId w:val="13"/>
        </w:numPr>
        <w:spacing w:line="300" w:lineRule="exact"/>
        <w:contextualSpacing/>
        <w:jc w:val="both"/>
        <w:rPr>
          <w:rFonts w:cstheme="minorHAnsi"/>
          <w:sz w:val="22"/>
          <w:szCs w:val="22"/>
        </w:rPr>
      </w:pPr>
      <w:r w:rsidRPr="00117E02">
        <w:rPr>
          <w:rFonts w:cstheme="minorHAnsi"/>
          <w:sz w:val="22"/>
          <w:szCs w:val="22"/>
        </w:rPr>
        <w:t>za objavo na spletni strani Agencije</w:t>
      </w:r>
    </w:p>
    <w:p w14:paraId="1F4DD8DA" w14:textId="77777777" w:rsidR="00E8046A" w:rsidRPr="00117E02" w:rsidRDefault="00E8046A" w:rsidP="00E8046A">
      <w:pPr>
        <w:pStyle w:val="ListParagraph"/>
        <w:numPr>
          <w:ilvl w:val="0"/>
          <w:numId w:val="13"/>
        </w:numPr>
        <w:spacing w:after="0" w:line="300" w:lineRule="exact"/>
        <w:jc w:val="both"/>
        <w:rPr>
          <w:rFonts w:cstheme="minorHAnsi"/>
          <w:sz w:val="22"/>
        </w:rPr>
      </w:pPr>
      <w:r w:rsidRPr="00117E02">
        <w:rPr>
          <w:rFonts w:cstheme="minorHAnsi"/>
          <w:sz w:val="22"/>
        </w:rPr>
        <w:t>v zbirko dokumentarnega gradiva.</w:t>
      </w:r>
    </w:p>
    <w:p w14:paraId="53630C4E" w14:textId="77777777" w:rsidR="00DE0AB5" w:rsidRPr="00117E02" w:rsidRDefault="00DE0AB5" w:rsidP="00235ABE">
      <w:pPr>
        <w:spacing w:after="0" w:line="300" w:lineRule="exact"/>
        <w:rPr>
          <w:rFonts w:cstheme="minorHAnsi"/>
          <w:sz w:val="22"/>
          <w:szCs w:val="22"/>
        </w:rPr>
      </w:pPr>
    </w:p>
    <w:p w14:paraId="1BC0DB0B" w14:textId="509FF030" w:rsidR="0084450F" w:rsidRPr="00117E02" w:rsidRDefault="00484058" w:rsidP="00235ABE">
      <w:pPr>
        <w:spacing w:after="0" w:line="300" w:lineRule="exact"/>
        <w:rPr>
          <w:rFonts w:cstheme="minorHAnsi"/>
          <w:sz w:val="22"/>
          <w:szCs w:val="22"/>
        </w:rPr>
      </w:pP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r w:rsidRPr="00117E02">
        <w:rPr>
          <w:rFonts w:cstheme="minorHAnsi"/>
          <w:sz w:val="22"/>
          <w:szCs w:val="22"/>
        </w:rPr>
        <w:tab/>
      </w:r>
    </w:p>
    <w:sectPr w:rsidR="0084450F" w:rsidRPr="00117E02" w:rsidSect="009F0344">
      <w:headerReference w:type="default" r:id="rId10"/>
      <w:footerReference w:type="default" r:id="rId11"/>
      <w:type w:val="continuous"/>
      <w:pgSz w:w="11907" w:h="16840"/>
      <w:pgMar w:top="1418" w:right="1134" w:bottom="1418" w:left="1134" w:header="1134" w:footer="3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72105" w14:textId="77777777" w:rsidR="002A14FE" w:rsidRDefault="002A14FE">
      <w:pPr>
        <w:spacing w:after="0" w:line="240" w:lineRule="auto"/>
      </w:pPr>
      <w:r>
        <w:separator/>
      </w:r>
    </w:p>
  </w:endnote>
  <w:endnote w:type="continuationSeparator" w:id="0">
    <w:p w14:paraId="3E970DC6" w14:textId="77777777" w:rsidR="002A14FE" w:rsidRDefault="002A1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INCE-Light">
    <w:altName w:val="Century"/>
    <w:panose1 w:val="00000000000000000000"/>
    <w:charset w:val="EE"/>
    <w:family w:val="auto"/>
    <w:notTrueType/>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EC1B" w14:textId="77777777" w:rsidR="00E52AFE" w:rsidRDefault="00E52AFE">
    <w:pPr>
      <w:pStyle w:val="Footer"/>
      <w:tabs>
        <w:tab w:val="left" w:pos="4040"/>
        <w:tab w:val="center" w:pos="4819"/>
      </w:tabs>
      <w:rPr>
        <w:noProof/>
      </w:rPr>
    </w:pPr>
    <w:r>
      <w:tab/>
    </w:r>
    <w:r>
      <w:tab/>
    </w:r>
    <w:r>
      <w:tab/>
    </w:r>
  </w:p>
  <w:p w14:paraId="24AE95A9" w14:textId="6F135D20" w:rsidR="00E52AFE" w:rsidRDefault="00C75008">
    <w:pPr>
      <w:framePr w:hSpace="180" w:wrap="auto" w:vAnchor="text" w:hAnchor="text" w:x="3234" w:y="88"/>
      <w:spacing w:after="0" w:line="240" w:lineRule="auto"/>
      <w:rPr>
        <w:noProof/>
      </w:rPr>
    </w:pPr>
    <w:r>
      <w:rPr>
        <w:noProof/>
      </w:rPr>
      <w:drawing>
        <wp:inline distT="0" distB="0" distL="0" distR="0" wp14:anchorId="0943BDE8" wp14:editId="549AAD81">
          <wp:extent cx="2228850" cy="88900"/>
          <wp:effectExtent l="0" t="0" r="0" b="6350"/>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88900"/>
                  </a:xfrm>
                  <a:prstGeom prst="rect">
                    <a:avLst/>
                  </a:prstGeom>
                  <a:noFill/>
                  <a:ln>
                    <a:noFill/>
                  </a:ln>
                </pic:spPr>
              </pic:pic>
            </a:graphicData>
          </a:graphic>
        </wp:inline>
      </w:drawing>
    </w:r>
  </w:p>
  <w:p w14:paraId="58B043AB" w14:textId="77777777" w:rsidR="00E52AFE" w:rsidRDefault="00E52AFE">
    <w:pPr>
      <w:pStyle w:val="Footer"/>
      <w:tabs>
        <w:tab w:val="left" w:pos="4040"/>
        <w:tab w:val="center" w:pos="481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B2BA" w14:textId="77777777" w:rsidR="00E52AFE" w:rsidRDefault="00E52AFE">
    <w:pPr>
      <w:pStyle w:val="Footer"/>
      <w:jc w:val="center"/>
      <w:rPr>
        <w:sz w:val="16"/>
        <w:szCs w:val="16"/>
      </w:rPr>
    </w:pPr>
    <w:r>
      <w:rPr>
        <w:sz w:val="16"/>
        <w:szCs w:val="16"/>
      </w:rPr>
      <w:fldChar w:fldCharType="begin"/>
    </w:r>
    <w:r>
      <w:rPr>
        <w:sz w:val="16"/>
        <w:szCs w:val="16"/>
      </w:rPr>
      <w:instrText xml:space="preserve">page  \* arabic  \* mergeformat </w:instrText>
    </w:r>
    <w:r>
      <w:rPr>
        <w:sz w:val="16"/>
        <w:szCs w:val="16"/>
      </w:rPr>
      <w:fldChar w:fldCharType="separate"/>
    </w:r>
    <w:r w:rsidR="00EC6743">
      <w:rPr>
        <w:noProof/>
        <w:sz w:val="16"/>
        <w:szCs w:val="16"/>
      </w:rPr>
      <w:t>3</w:t>
    </w:r>
    <w:r>
      <w:fldChar w:fldCharType="end"/>
    </w:r>
    <w:r>
      <w:rPr>
        <w:sz w:val="16"/>
        <w:szCs w:val="16"/>
      </w:rPr>
      <w:t>/</w:t>
    </w:r>
    <w:r>
      <w:rPr>
        <w:sz w:val="16"/>
        <w:szCs w:val="16"/>
      </w:rPr>
      <w:fldChar w:fldCharType="begin"/>
    </w:r>
    <w:r>
      <w:rPr>
        <w:sz w:val="16"/>
        <w:szCs w:val="16"/>
      </w:rPr>
      <w:instrText xml:space="preserve">numpages  \* arabic  \* mergeformat </w:instrText>
    </w:r>
    <w:r>
      <w:rPr>
        <w:sz w:val="16"/>
        <w:szCs w:val="16"/>
      </w:rPr>
      <w:fldChar w:fldCharType="separate"/>
    </w:r>
    <w:r w:rsidR="00EC6743">
      <w:rPr>
        <w:noProof/>
        <w:sz w:val="16"/>
        <w:szCs w:val="16"/>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689F2" w14:textId="77777777" w:rsidR="002A14FE" w:rsidRDefault="002A14FE">
      <w:pPr>
        <w:spacing w:after="0" w:line="240" w:lineRule="auto"/>
      </w:pPr>
      <w:r>
        <w:separator/>
      </w:r>
    </w:p>
  </w:footnote>
  <w:footnote w:type="continuationSeparator" w:id="0">
    <w:p w14:paraId="7D1A49A5" w14:textId="77777777" w:rsidR="002A14FE" w:rsidRDefault="002A14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A394" w14:textId="4E4E1978" w:rsidR="00E52AFE" w:rsidRDefault="00C75008">
    <w:pPr>
      <w:pStyle w:val="Header"/>
      <w:spacing w:line="276" w:lineRule="atLeast"/>
      <w:rPr>
        <w:rFonts w:ascii="DINCE-Light" w:hAnsi="DINCE-Light"/>
        <w:sz w:val="15"/>
        <w:szCs w:val="15"/>
      </w:rPr>
    </w:pPr>
    <w:r>
      <w:rPr>
        <w:rFonts w:ascii="DINCE-Light" w:hAnsi="DINCE-Light"/>
        <w:noProof/>
        <w:sz w:val="15"/>
        <w:szCs w:val="15"/>
      </w:rPr>
      <w:drawing>
        <wp:inline distT="0" distB="0" distL="0" distR="0" wp14:anchorId="6E352E72" wp14:editId="7A129D4E">
          <wp:extent cx="6064250" cy="469900"/>
          <wp:effectExtent l="0" t="0" r="0" b="6350"/>
          <wp:docPr id="1"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4250" cy="4699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F366" w14:textId="77777777" w:rsidR="00E52AFE" w:rsidRDefault="00E52AFE">
    <w:pPr>
      <w:pStyle w:val="Header"/>
      <w:spacing w:line="276" w:lineRule="atLeast"/>
      <w:rPr>
        <w:rFonts w:ascii="DINCE-Light" w:hAnsi="DINCE-Light"/>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098C"/>
    <w:multiLevelType w:val="hybridMultilevel"/>
    <w:tmpl w:val="CB842ED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15234F0"/>
    <w:multiLevelType w:val="hybridMultilevel"/>
    <w:tmpl w:val="1E3AF76A"/>
    <w:lvl w:ilvl="0" w:tplc="4C526800">
      <w:start w:val="1"/>
      <w:numFmt w:val="bullet"/>
      <w:lvlText w:val=""/>
      <w:lvlJc w:val="left"/>
      <w:pPr>
        <w:tabs>
          <w:tab w:val="num" w:pos="397"/>
        </w:tabs>
        <w:ind w:left="397" w:hanging="397"/>
      </w:pPr>
      <w:rPr>
        <w:rFonts w:ascii="Symbol" w:hAnsi="Symbol" w:hint="default"/>
      </w:rPr>
    </w:lvl>
    <w:lvl w:ilvl="1" w:tplc="6D8621E6">
      <w:start w:val="1"/>
      <w:numFmt w:val="bullet"/>
      <w:lvlText w:val=""/>
      <w:lvlJc w:val="left"/>
      <w:pPr>
        <w:tabs>
          <w:tab w:val="num" w:pos="142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094110"/>
    <w:multiLevelType w:val="hybridMultilevel"/>
    <w:tmpl w:val="8E40B900"/>
    <w:lvl w:ilvl="0" w:tplc="4B3A3CD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62B07C5"/>
    <w:multiLevelType w:val="hybridMultilevel"/>
    <w:tmpl w:val="61429BD8"/>
    <w:lvl w:ilvl="0" w:tplc="4C52680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DFB21B9"/>
    <w:multiLevelType w:val="hybridMultilevel"/>
    <w:tmpl w:val="EEA00DC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18F7DE2"/>
    <w:multiLevelType w:val="hybridMultilevel"/>
    <w:tmpl w:val="372608AA"/>
    <w:lvl w:ilvl="0" w:tplc="4C52680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6052BEB"/>
    <w:multiLevelType w:val="hybridMultilevel"/>
    <w:tmpl w:val="32D23110"/>
    <w:lvl w:ilvl="0" w:tplc="7DFA3F72">
      <w:start w:val="1"/>
      <w:numFmt w:val="bullet"/>
      <w:lvlText w:val="-"/>
      <w:lvlJc w:val="left"/>
      <w:pPr>
        <w:tabs>
          <w:tab w:val="num" w:pos="397"/>
        </w:tabs>
        <w:ind w:left="397" w:hanging="397"/>
      </w:pPr>
      <w:rPr>
        <w:rFonts w:ascii="Courier New" w:hAnsi="Courier New" w:hint="default"/>
      </w:rPr>
    </w:lvl>
    <w:lvl w:ilvl="1" w:tplc="6D8621E6">
      <w:start w:val="1"/>
      <w:numFmt w:val="bullet"/>
      <w:lvlText w:val=""/>
      <w:lvlJc w:val="left"/>
      <w:pPr>
        <w:tabs>
          <w:tab w:val="num" w:pos="142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572BF3"/>
    <w:multiLevelType w:val="hybridMultilevel"/>
    <w:tmpl w:val="6ABE8EC6"/>
    <w:lvl w:ilvl="0" w:tplc="7DFA3F72">
      <w:start w:val="1"/>
      <w:numFmt w:val="bullet"/>
      <w:lvlText w:val="-"/>
      <w:lvlJc w:val="left"/>
      <w:pPr>
        <w:tabs>
          <w:tab w:val="num" w:pos="397"/>
        </w:tabs>
        <w:ind w:left="397" w:hanging="397"/>
      </w:pPr>
      <w:rPr>
        <w:rFonts w:ascii="Courier New" w:hAnsi="Courier New" w:hint="default"/>
      </w:rPr>
    </w:lvl>
    <w:lvl w:ilvl="1" w:tplc="6D8621E6">
      <w:start w:val="1"/>
      <w:numFmt w:val="bullet"/>
      <w:lvlText w:val=""/>
      <w:lvlJc w:val="left"/>
      <w:pPr>
        <w:tabs>
          <w:tab w:val="num" w:pos="142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AA3C78"/>
    <w:multiLevelType w:val="hybridMultilevel"/>
    <w:tmpl w:val="76680C9A"/>
    <w:lvl w:ilvl="0" w:tplc="102260EA">
      <w:numFmt w:val="bullet"/>
      <w:lvlText w:val="-"/>
      <w:lvlJc w:val="left"/>
      <w:pPr>
        <w:ind w:left="720" w:hanging="360"/>
      </w:pPr>
      <w:rPr>
        <w:rFonts w:ascii="Trebuchet MS" w:eastAsia="Times New Roman" w:hAnsi="Trebuchet MS" w:cs="Trebuchet M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5D6532A"/>
    <w:multiLevelType w:val="hybridMultilevel"/>
    <w:tmpl w:val="5D224CDC"/>
    <w:lvl w:ilvl="0" w:tplc="4C526800">
      <w:start w:val="1"/>
      <w:numFmt w:val="bullet"/>
      <w:lvlText w:val=""/>
      <w:lvlJc w:val="left"/>
      <w:pPr>
        <w:tabs>
          <w:tab w:val="num" w:pos="397"/>
        </w:tabs>
        <w:ind w:left="397" w:hanging="397"/>
      </w:pPr>
      <w:rPr>
        <w:rFonts w:ascii="Symbol" w:hAnsi="Symbol" w:hint="default"/>
      </w:rPr>
    </w:lvl>
    <w:lvl w:ilvl="1" w:tplc="6D8621E6">
      <w:start w:val="1"/>
      <w:numFmt w:val="bullet"/>
      <w:lvlText w:val=""/>
      <w:lvlJc w:val="left"/>
      <w:pPr>
        <w:tabs>
          <w:tab w:val="num" w:pos="142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DE2963"/>
    <w:multiLevelType w:val="hybridMultilevel"/>
    <w:tmpl w:val="E2F4686C"/>
    <w:lvl w:ilvl="0" w:tplc="7DFA3F72">
      <w:start w:val="1"/>
      <w:numFmt w:val="bullet"/>
      <w:lvlText w:val="-"/>
      <w:lvlJc w:val="left"/>
      <w:pPr>
        <w:tabs>
          <w:tab w:val="num" w:pos="397"/>
        </w:tabs>
        <w:ind w:left="397" w:hanging="397"/>
      </w:pPr>
      <w:rPr>
        <w:rFonts w:ascii="Courier New" w:hAnsi="Courier New" w:hint="default"/>
      </w:rPr>
    </w:lvl>
    <w:lvl w:ilvl="1" w:tplc="6D8621E6">
      <w:start w:val="1"/>
      <w:numFmt w:val="bullet"/>
      <w:lvlText w:val=""/>
      <w:lvlJc w:val="left"/>
      <w:pPr>
        <w:tabs>
          <w:tab w:val="num" w:pos="142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3A176A"/>
    <w:multiLevelType w:val="hybridMultilevel"/>
    <w:tmpl w:val="D966CD76"/>
    <w:lvl w:ilvl="0" w:tplc="217A972A">
      <w:start w:val="1"/>
      <w:numFmt w:val="bullet"/>
      <w:lvlText w:val="-"/>
      <w:lvlJc w:val="left"/>
      <w:pPr>
        <w:ind w:left="1068" w:hanging="360"/>
      </w:pPr>
      <w:rPr>
        <w:rFonts w:ascii="Trebuchet MS" w:eastAsia="Times New Roman" w:hAnsi="Trebuchet MS"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2" w15:restartNumberingAfterBreak="0">
    <w:nsid w:val="4E3E5AA9"/>
    <w:multiLevelType w:val="hybridMultilevel"/>
    <w:tmpl w:val="81CE5FC6"/>
    <w:lvl w:ilvl="0" w:tplc="1010BA0A">
      <w:start w:val="1"/>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5B440F9E"/>
    <w:multiLevelType w:val="hybridMultilevel"/>
    <w:tmpl w:val="CA92B944"/>
    <w:lvl w:ilvl="0" w:tplc="F18C158E">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C9782C"/>
    <w:multiLevelType w:val="hybridMultilevel"/>
    <w:tmpl w:val="FF8E8F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61983967">
    <w:abstractNumId w:val="1"/>
  </w:num>
  <w:num w:numId="2" w16cid:durableId="532886935">
    <w:abstractNumId w:val="7"/>
  </w:num>
  <w:num w:numId="3" w16cid:durableId="717095996">
    <w:abstractNumId w:val="10"/>
  </w:num>
  <w:num w:numId="4" w16cid:durableId="590118412">
    <w:abstractNumId w:val="6"/>
  </w:num>
  <w:num w:numId="5" w16cid:durableId="1581863860">
    <w:abstractNumId w:val="9"/>
  </w:num>
  <w:num w:numId="6" w16cid:durableId="1511289392">
    <w:abstractNumId w:val="5"/>
  </w:num>
  <w:num w:numId="7" w16cid:durableId="1591548340">
    <w:abstractNumId w:val="3"/>
  </w:num>
  <w:num w:numId="8" w16cid:durableId="1322197200">
    <w:abstractNumId w:val="0"/>
  </w:num>
  <w:num w:numId="9" w16cid:durableId="2012248295">
    <w:abstractNumId w:val="4"/>
  </w:num>
  <w:num w:numId="10" w16cid:durableId="5139038">
    <w:abstractNumId w:val="14"/>
  </w:num>
  <w:num w:numId="11" w16cid:durableId="1893733575">
    <w:abstractNumId w:val="8"/>
  </w:num>
  <w:num w:numId="12" w16cid:durableId="1161653592">
    <w:abstractNumId w:val="12"/>
  </w:num>
  <w:num w:numId="13" w16cid:durableId="1836796381">
    <w:abstractNumId w:val="2"/>
  </w:num>
  <w:num w:numId="14" w16cid:durableId="46688551">
    <w:abstractNumId w:val="13"/>
  </w:num>
  <w:num w:numId="15" w16cid:durableId="412775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38"/>
    <w:rsid w:val="000012C3"/>
    <w:rsid w:val="00005EF5"/>
    <w:rsid w:val="000234E8"/>
    <w:rsid w:val="0002547D"/>
    <w:rsid w:val="000275F1"/>
    <w:rsid w:val="0003473B"/>
    <w:rsid w:val="00037F38"/>
    <w:rsid w:val="00052DCF"/>
    <w:rsid w:val="0005756E"/>
    <w:rsid w:val="000722BC"/>
    <w:rsid w:val="00075C1E"/>
    <w:rsid w:val="00086782"/>
    <w:rsid w:val="00087F27"/>
    <w:rsid w:val="000A2A3B"/>
    <w:rsid w:val="000A7F92"/>
    <w:rsid w:val="000D1C38"/>
    <w:rsid w:val="000E3182"/>
    <w:rsid w:val="000F04E0"/>
    <w:rsid w:val="000F775E"/>
    <w:rsid w:val="00100154"/>
    <w:rsid w:val="00103B64"/>
    <w:rsid w:val="001054B0"/>
    <w:rsid w:val="00105701"/>
    <w:rsid w:val="00113246"/>
    <w:rsid w:val="001173CC"/>
    <w:rsid w:val="00117E02"/>
    <w:rsid w:val="00127E41"/>
    <w:rsid w:val="0013448B"/>
    <w:rsid w:val="00142E40"/>
    <w:rsid w:val="00147D8E"/>
    <w:rsid w:val="001510B8"/>
    <w:rsid w:val="00156D33"/>
    <w:rsid w:val="00156E5C"/>
    <w:rsid w:val="00157A98"/>
    <w:rsid w:val="00170228"/>
    <w:rsid w:val="0017240E"/>
    <w:rsid w:val="001828B8"/>
    <w:rsid w:val="00184B58"/>
    <w:rsid w:val="001860C2"/>
    <w:rsid w:val="00190268"/>
    <w:rsid w:val="00194C55"/>
    <w:rsid w:val="001A4971"/>
    <w:rsid w:val="001A6533"/>
    <w:rsid w:val="001B540C"/>
    <w:rsid w:val="001C1F4E"/>
    <w:rsid w:val="001C594E"/>
    <w:rsid w:val="001C7699"/>
    <w:rsid w:val="001D6CE1"/>
    <w:rsid w:val="001E4DE8"/>
    <w:rsid w:val="001E6C90"/>
    <w:rsid w:val="001F1B2F"/>
    <w:rsid w:val="001F1D73"/>
    <w:rsid w:val="001F3A4D"/>
    <w:rsid w:val="002010BF"/>
    <w:rsid w:val="002031C9"/>
    <w:rsid w:val="002037D3"/>
    <w:rsid w:val="00211428"/>
    <w:rsid w:val="0021789B"/>
    <w:rsid w:val="002210A5"/>
    <w:rsid w:val="00231B05"/>
    <w:rsid w:val="00235ABE"/>
    <w:rsid w:val="00235CFF"/>
    <w:rsid w:val="00241065"/>
    <w:rsid w:val="002410B1"/>
    <w:rsid w:val="00243044"/>
    <w:rsid w:val="00243819"/>
    <w:rsid w:val="002445AE"/>
    <w:rsid w:val="002468A7"/>
    <w:rsid w:val="002505DB"/>
    <w:rsid w:val="00251918"/>
    <w:rsid w:val="002546FA"/>
    <w:rsid w:val="0025604F"/>
    <w:rsid w:val="002560C4"/>
    <w:rsid w:val="00256954"/>
    <w:rsid w:val="00266CB6"/>
    <w:rsid w:val="0028225E"/>
    <w:rsid w:val="0029185E"/>
    <w:rsid w:val="00294CB5"/>
    <w:rsid w:val="00297BE4"/>
    <w:rsid w:val="002A14FE"/>
    <w:rsid w:val="002A1960"/>
    <w:rsid w:val="002A4080"/>
    <w:rsid w:val="002A511B"/>
    <w:rsid w:val="002A61BB"/>
    <w:rsid w:val="002A791E"/>
    <w:rsid w:val="002B0D18"/>
    <w:rsid w:val="002C3365"/>
    <w:rsid w:val="002E09D9"/>
    <w:rsid w:val="002E2B2D"/>
    <w:rsid w:val="002E3149"/>
    <w:rsid w:val="002E6135"/>
    <w:rsid w:val="002F04AD"/>
    <w:rsid w:val="002F4326"/>
    <w:rsid w:val="0030341D"/>
    <w:rsid w:val="003119FD"/>
    <w:rsid w:val="00312BB0"/>
    <w:rsid w:val="003147D4"/>
    <w:rsid w:val="003214D3"/>
    <w:rsid w:val="0032344B"/>
    <w:rsid w:val="003333DA"/>
    <w:rsid w:val="003460B9"/>
    <w:rsid w:val="00346125"/>
    <w:rsid w:val="00352418"/>
    <w:rsid w:val="00360C16"/>
    <w:rsid w:val="0037301B"/>
    <w:rsid w:val="00376336"/>
    <w:rsid w:val="00382B1E"/>
    <w:rsid w:val="0038417A"/>
    <w:rsid w:val="00394ACA"/>
    <w:rsid w:val="003970C1"/>
    <w:rsid w:val="003975D8"/>
    <w:rsid w:val="003A030D"/>
    <w:rsid w:val="003A2158"/>
    <w:rsid w:val="003A25B4"/>
    <w:rsid w:val="003A5D55"/>
    <w:rsid w:val="003C08D3"/>
    <w:rsid w:val="003C4A14"/>
    <w:rsid w:val="003C67E1"/>
    <w:rsid w:val="003D6388"/>
    <w:rsid w:val="003D6C6D"/>
    <w:rsid w:val="003E5849"/>
    <w:rsid w:val="003F54A4"/>
    <w:rsid w:val="00404ABC"/>
    <w:rsid w:val="00410338"/>
    <w:rsid w:val="0042556C"/>
    <w:rsid w:val="00430466"/>
    <w:rsid w:val="0043360D"/>
    <w:rsid w:val="00445018"/>
    <w:rsid w:val="004560BE"/>
    <w:rsid w:val="00461AFB"/>
    <w:rsid w:val="004645E7"/>
    <w:rsid w:val="00466582"/>
    <w:rsid w:val="00484058"/>
    <w:rsid w:val="004849EB"/>
    <w:rsid w:val="0049035E"/>
    <w:rsid w:val="00490B85"/>
    <w:rsid w:val="004A0C6A"/>
    <w:rsid w:val="004B0A06"/>
    <w:rsid w:val="004B27BF"/>
    <w:rsid w:val="004C0D7D"/>
    <w:rsid w:val="004C0DBE"/>
    <w:rsid w:val="004C3827"/>
    <w:rsid w:val="004C6A98"/>
    <w:rsid w:val="004C723A"/>
    <w:rsid w:val="004D0D45"/>
    <w:rsid w:val="004E1871"/>
    <w:rsid w:val="004E1E93"/>
    <w:rsid w:val="004F2C4E"/>
    <w:rsid w:val="004F2EE6"/>
    <w:rsid w:val="004F3776"/>
    <w:rsid w:val="005001B9"/>
    <w:rsid w:val="00501904"/>
    <w:rsid w:val="0050407B"/>
    <w:rsid w:val="00510173"/>
    <w:rsid w:val="00510BBE"/>
    <w:rsid w:val="0051734F"/>
    <w:rsid w:val="0053052A"/>
    <w:rsid w:val="00531C4C"/>
    <w:rsid w:val="00536899"/>
    <w:rsid w:val="005378C3"/>
    <w:rsid w:val="005403B1"/>
    <w:rsid w:val="00540F28"/>
    <w:rsid w:val="005420AA"/>
    <w:rsid w:val="005538B9"/>
    <w:rsid w:val="005548FF"/>
    <w:rsid w:val="005751D4"/>
    <w:rsid w:val="005811C6"/>
    <w:rsid w:val="005829B3"/>
    <w:rsid w:val="00582E79"/>
    <w:rsid w:val="005876EF"/>
    <w:rsid w:val="0059172A"/>
    <w:rsid w:val="005A344D"/>
    <w:rsid w:val="005A3B54"/>
    <w:rsid w:val="005B2266"/>
    <w:rsid w:val="005B2E53"/>
    <w:rsid w:val="005B39EC"/>
    <w:rsid w:val="005C14D2"/>
    <w:rsid w:val="005C3FBF"/>
    <w:rsid w:val="005C5F46"/>
    <w:rsid w:val="005D6786"/>
    <w:rsid w:val="005E4E0B"/>
    <w:rsid w:val="005F0204"/>
    <w:rsid w:val="005F0DA8"/>
    <w:rsid w:val="005F1AAC"/>
    <w:rsid w:val="005F30E6"/>
    <w:rsid w:val="005F3E20"/>
    <w:rsid w:val="005F3EE5"/>
    <w:rsid w:val="005F5DE9"/>
    <w:rsid w:val="00601163"/>
    <w:rsid w:val="00613D9A"/>
    <w:rsid w:val="00615885"/>
    <w:rsid w:val="00624FAA"/>
    <w:rsid w:val="0064720B"/>
    <w:rsid w:val="00651D11"/>
    <w:rsid w:val="00651D71"/>
    <w:rsid w:val="00655D5C"/>
    <w:rsid w:val="006667BC"/>
    <w:rsid w:val="006673FC"/>
    <w:rsid w:val="0067131C"/>
    <w:rsid w:val="006733AD"/>
    <w:rsid w:val="006804FF"/>
    <w:rsid w:val="00681BC3"/>
    <w:rsid w:val="0068224E"/>
    <w:rsid w:val="0068246D"/>
    <w:rsid w:val="00690B0A"/>
    <w:rsid w:val="0069155F"/>
    <w:rsid w:val="006930DD"/>
    <w:rsid w:val="006946FD"/>
    <w:rsid w:val="00696AA0"/>
    <w:rsid w:val="00696EE2"/>
    <w:rsid w:val="006A38E9"/>
    <w:rsid w:val="006C7162"/>
    <w:rsid w:val="006D0B6A"/>
    <w:rsid w:val="006D33F8"/>
    <w:rsid w:val="006D48F4"/>
    <w:rsid w:val="006D54D4"/>
    <w:rsid w:val="006D6E60"/>
    <w:rsid w:val="006E5B66"/>
    <w:rsid w:val="006F1B94"/>
    <w:rsid w:val="006F2354"/>
    <w:rsid w:val="006F429B"/>
    <w:rsid w:val="0070379A"/>
    <w:rsid w:val="00706E04"/>
    <w:rsid w:val="0070727B"/>
    <w:rsid w:val="0071505A"/>
    <w:rsid w:val="00715B24"/>
    <w:rsid w:val="00721225"/>
    <w:rsid w:val="0072692E"/>
    <w:rsid w:val="0072731B"/>
    <w:rsid w:val="00733361"/>
    <w:rsid w:val="00743225"/>
    <w:rsid w:val="00757997"/>
    <w:rsid w:val="00760F1D"/>
    <w:rsid w:val="007617BF"/>
    <w:rsid w:val="0077320D"/>
    <w:rsid w:val="007741F5"/>
    <w:rsid w:val="00776A36"/>
    <w:rsid w:val="007825CD"/>
    <w:rsid w:val="00783E84"/>
    <w:rsid w:val="0078668E"/>
    <w:rsid w:val="00794FB7"/>
    <w:rsid w:val="007A44CA"/>
    <w:rsid w:val="007C3360"/>
    <w:rsid w:val="007D4E93"/>
    <w:rsid w:val="007D5EBA"/>
    <w:rsid w:val="007D7678"/>
    <w:rsid w:val="007E1A1D"/>
    <w:rsid w:val="007E22DF"/>
    <w:rsid w:val="007E3DED"/>
    <w:rsid w:val="007E5C0C"/>
    <w:rsid w:val="007E7B09"/>
    <w:rsid w:val="007F00CF"/>
    <w:rsid w:val="007F02D1"/>
    <w:rsid w:val="007F13BB"/>
    <w:rsid w:val="007F1E31"/>
    <w:rsid w:val="007F7CD8"/>
    <w:rsid w:val="00821BB5"/>
    <w:rsid w:val="0083233B"/>
    <w:rsid w:val="0083340B"/>
    <w:rsid w:val="008341E9"/>
    <w:rsid w:val="00840C79"/>
    <w:rsid w:val="008441C3"/>
    <w:rsid w:val="0084450F"/>
    <w:rsid w:val="00847775"/>
    <w:rsid w:val="008521B3"/>
    <w:rsid w:val="0085232E"/>
    <w:rsid w:val="008526AF"/>
    <w:rsid w:val="00853DB3"/>
    <w:rsid w:val="0086494A"/>
    <w:rsid w:val="008731A8"/>
    <w:rsid w:val="00896433"/>
    <w:rsid w:val="00896E01"/>
    <w:rsid w:val="008A005E"/>
    <w:rsid w:val="008B4345"/>
    <w:rsid w:val="008C03FC"/>
    <w:rsid w:val="008C0A9C"/>
    <w:rsid w:val="008C3F8C"/>
    <w:rsid w:val="008C4F49"/>
    <w:rsid w:val="008D5867"/>
    <w:rsid w:val="008E4A3F"/>
    <w:rsid w:val="008F2C55"/>
    <w:rsid w:val="008F715C"/>
    <w:rsid w:val="00902C1E"/>
    <w:rsid w:val="009062B8"/>
    <w:rsid w:val="00921538"/>
    <w:rsid w:val="0092667E"/>
    <w:rsid w:val="00926F2F"/>
    <w:rsid w:val="0093217C"/>
    <w:rsid w:val="009341C0"/>
    <w:rsid w:val="00940346"/>
    <w:rsid w:val="009446FE"/>
    <w:rsid w:val="00952C31"/>
    <w:rsid w:val="00955160"/>
    <w:rsid w:val="009555C8"/>
    <w:rsid w:val="00963CC9"/>
    <w:rsid w:val="00964D48"/>
    <w:rsid w:val="0096636C"/>
    <w:rsid w:val="00966B4E"/>
    <w:rsid w:val="00971A26"/>
    <w:rsid w:val="009820B8"/>
    <w:rsid w:val="0098224E"/>
    <w:rsid w:val="00982DEF"/>
    <w:rsid w:val="0098319F"/>
    <w:rsid w:val="00985A36"/>
    <w:rsid w:val="00985BD3"/>
    <w:rsid w:val="00990352"/>
    <w:rsid w:val="00995326"/>
    <w:rsid w:val="00995AF2"/>
    <w:rsid w:val="009A2F69"/>
    <w:rsid w:val="009B66E1"/>
    <w:rsid w:val="009B6896"/>
    <w:rsid w:val="009C038D"/>
    <w:rsid w:val="009C2FD1"/>
    <w:rsid w:val="009D3527"/>
    <w:rsid w:val="009E4FFA"/>
    <w:rsid w:val="009F0344"/>
    <w:rsid w:val="009F636A"/>
    <w:rsid w:val="009F647F"/>
    <w:rsid w:val="00A01642"/>
    <w:rsid w:val="00A10204"/>
    <w:rsid w:val="00A14506"/>
    <w:rsid w:val="00A160C6"/>
    <w:rsid w:val="00A17C8A"/>
    <w:rsid w:val="00A22B1C"/>
    <w:rsid w:val="00A3062B"/>
    <w:rsid w:val="00A32B6C"/>
    <w:rsid w:val="00A33E52"/>
    <w:rsid w:val="00A35A70"/>
    <w:rsid w:val="00A406E9"/>
    <w:rsid w:val="00A43ABA"/>
    <w:rsid w:val="00A44566"/>
    <w:rsid w:val="00A57692"/>
    <w:rsid w:val="00A577E7"/>
    <w:rsid w:val="00A57CC3"/>
    <w:rsid w:val="00A638B3"/>
    <w:rsid w:val="00A667C1"/>
    <w:rsid w:val="00A846DD"/>
    <w:rsid w:val="00A95FDA"/>
    <w:rsid w:val="00AA09BB"/>
    <w:rsid w:val="00AB77EC"/>
    <w:rsid w:val="00AC0BD3"/>
    <w:rsid w:val="00AC5846"/>
    <w:rsid w:val="00AD065C"/>
    <w:rsid w:val="00AE3A9C"/>
    <w:rsid w:val="00AE4DCC"/>
    <w:rsid w:val="00AE55CE"/>
    <w:rsid w:val="00AF0C48"/>
    <w:rsid w:val="00AF2921"/>
    <w:rsid w:val="00AF5187"/>
    <w:rsid w:val="00B01C48"/>
    <w:rsid w:val="00B035F3"/>
    <w:rsid w:val="00B13F69"/>
    <w:rsid w:val="00B16FD5"/>
    <w:rsid w:val="00B252FD"/>
    <w:rsid w:val="00B2681C"/>
    <w:rsid w:val="00B46265"/>
    <w:rsid w:val="00B50F4E"/>
    <w:rsid w:val="00B61F03"/>
    <w:rsid w:val="00B62F33"/>
    <w:rsid w:val="00B70882"/>
    <w:rsid w:val="00B70F4E"/>
    <w:rsid w:val="00B72811"/>
    <w:rsid w:val="00B72CA0"/>
    <w:rsid w:val="00B9008F"/>
    <w:rsid w:val="00BA2705"/>
    <w:rsid w:val="00BA5F52"/>
    <w:rsid w:val="00BB022D"/>
    <w:rsid w:val="00BB0F98"/>
    <w:rsid w:val="00BB2A69"/>
    <w:rsid w:val="00BB3B41"/>
    <w:rsid w:val="00BB428B"/>
    <w:rsid w:val="00BB4995"/>
    <w:rsid w:val="00BC0082"/>
    <w:rsid w:val="00BC13EE"/>
    <w:rsid w:val="00BC30DB"/>
    <w:rsid w:val="00BC3DD4"/>
    <w:rsid w:val="00BC6652"/>
    <w:rsid w:val="00BC75BA"/>
    <w:rsid w:val="00BD15CB"/>
    <w:rsid w:val="00BD3D15"/>
    <w:rsid w:val="00BE0D6A"/>
    <w:rsid w:val="00BE65C7"/>
    <w:rsid w:val="00BF4A50"/>
    <w:rsid w:val="00C106CF"/>
    <w:rsid w:val="00C10C91"/>
    <w:rsid w:val="00C10D06"/>
    <w:rsid w:val="00C136F6"/>
    <w:rsid w:val="00C171B4"/>
    <w:rsid w:val="00C20879"/>
    <w:rsid w:val="00C22933"/>
    <w:rsid w:val="00C254CC"/>
    <w:rsid w:val="00C410D4"/>
    <w:rsid w:val="00C437C1"/>
    <w:rsid w:val="00C512E6"/>
    <w:rsid w:val="00C62BF3"/>
    <w:rsid w:val="00C651BE"/>
    <w:rsid w:val="00C72E00"/>
    <w:rsid w:val="00C75008"/>
    <w:rsid w:val="00C83625"/>
    <w:rsid w:val="00C92D53"/>
    <w:rsid w:val="00C93402"/>
    <w:rsid w:val="00CA63DB"/>
    <w:rsid w:val="00CB133E"/>
    <w:rsid w:val="00CC323B"/>
    <w:rsid w:val="00CC48B2"/>
    <w:rsid w:val="00CC48DF"/>
    <w:rsid w:val="00CE1D72"/>
    <w:rsid w:val="00CE2668"/>
    <w:rsid w:val="00CE3634"/>
    <w:rsid w:val="00CE62E6"/>
    <w:rsid w:val="00CE779D"/>
    <w:rsid w:val="00CE796F"/>
    <w:rsid w:val="00CF3485"/>
    <w:rsid w:val="00D01AC3"/>
    <w:rsid w:val="00D12FE6"/>
    <w:rsid w:val="00D226CC"/>
    <w:rsid w:val="00D30950"/>
    <w:rsid w:val="00D42644"/>
    <w:rsid w:val="00D43CB8"/>
    <w:rsid w:val="00D45DE9"/>
    <w:rsid w:val="00D46889"/>
    <w:rsid w:val="00D53C66"/>
    <w:rsid w:val="00D56DC2"/>
    <w:rsid w:val="00D603DD"/>
    <w:rsid w:val="00D61FA2"/>
    <w:rsid w:val="00D666DF"/>
    <w:rsid w:val="00D7156B"/>
    <w:rsid w:val="00D74C5D"/>
    <w:rsid w:val="00D92F9D"/>
    <w:rsid w:val="00D972EB"/>
    <w:rsid w:val="00DB0615"/>
    <w:rsid w:val="00DB0EE8"/>
    <w:rsid w:val="00DB2E45"/>
    <w:rsid w:val="00DB660A"/>
    <w:rsid w:val="00DD26CE"/>
    <w:rsid w:val="00DD3013"/>
    <w:rsid w:val="00DD38E0"/>
    <w:rsid w:val="00DD61E6"/>
    <w:rsid w:val="00DD7A6A"/>
    <w:rsid w:val="00DE0AB5"/>
    <w:rsid w:val="00DE1A4E"/>
    <w:rsid w:val="00DE5F8F"/>
    <w:rsid w:val="00DE761D"/>
    <w:rsid w:val="00DF02D3"/>
    <w:rsid w:val="00DF1DA7"/>
    <w:rsid w:val="00DF425A"/>
    <w:rsid w:val="00E0102C"/>
    <w:rsid w:val="00E04CC9"/>
    <w:rsid w:val="00E074B4"/>
    <w:rsid w:val="00E07889"/>
    <w:rsid w:val="00E21A6F"/>
    <w:rsid w:val="00E2263A"/>
    <w:rsid w:val="00E22F6D"/>
    <w:rsid w:val="00E2672C"/>
    <w:rsid w:val="00E32C1D"/>
    <w:rsid w:val="00E32D8E"/>
    <w:rsid w:val="00E342C4"/>
    <w:rsid w:val="00E45BED"/>
    <w:rsid w:val="00E52AFE"/>
    <w:rsid w:val="00E57BD1"/>
    <w:rsid w:val="00E62317"/>
    <w:rsid w:val="00E65D3B"/>
    <w:rsid w:val="00E74B38"/>
    <w:rsid w:val="00E77215"/>
    <w:rsid w:val="00E8046A"/>
    <w:rsid w:val="00E8194C"/>
    <w:rsid w:val="00E917C7"/>
    <w:rsid w:val="00E9196C"/>
    <w:rsid w:val="00E971F4"/>
    <w:rsid w:val="00EA094D"/>
    <w:rsid w:val="00EA21EF"/>
    <w:rsid w:val="00EA6360"/>
    <w:rsid w:val="00EB2270"/>
    <w:rsid w:val="00EB3365"/>
    <w:rsid w:val="00EC6743"/>
    <w:rsid w:val="00F01409"/>
    <w:rsid w:val="00F02C50"/>
    <w:rsid w:val="00F05CD7"/>
    <w:rsid w:val="00F0628C"/>
    <w:rsid w:val="00F11286"/>
    <w:rsid w:val="00F15D09"/>
    <w:rsid w:val="00F20B76"/>
    <w:rsid w:val="00F2147D"/>
    <w:rsid w:val="00F31214"/>
    <w:rsid w:val="00F415ED"/>
    <w:rsid w:val="00F42A1D"/>
    <w:rsid w:val="00F4367B"/>
    <w:rsid w:val="00F449F9"/>
    <w:rsid w:val="00F45B1B"/>
    <w:rsid w:val="00F50EDF"/>
    <w:rsid w:val="00F53D29"/>
    <w:rsid w:val="00F542E8"/>
    <w:rsid w:val="00F62761"/>
    <w:rsid w:val="00F657DE"/>
    <w:rsid w:val="00F66CFF"/>
    <w:rsid w:val="00F764B8"/>
    <w:rsid w:val="00F83286"/>
    <w:rsid w:val="00FA2778"/>
    <w:rsid w:val="00FA795A"/>
    <w:rsid w:val="00FB5CD8"/>
    <w:rsid w:val="00FC17FE"/>
    <w:rsid w:val="00FC2CFF"/>
    <w:rsid w:val="00FD2164"/>
    <w:rsid w:val="00FD71E2"/>
    <w:rsid w:val="00FE2DC6"/>
    <w:rsid w:val="00FE5B83"/>
    <w:rsid w:val="00FF0671"/>
    <w:rsid w:val="00FF10E7"/>
    <w:rsid w:val="00FF309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F5FF0"/>
  <w15:chartTrackingRefBased/>
  <w15:docId w15:val="{7EFED4BA-E4A7-456D-B084-ECE0CE56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tLeast"/>
    </w:pPr>
    <w:rPr>
      <w:rFonts w:ascii="Trebuchet MS" w:hAnsi="Trebuchet MS" w:cs="Trebuchet MS"/>
    </w:rPr>
  </w:style>
  <w:style w:type="paragraph" w:styleId="Heading1">
    <w:name w:val="heading 1"/>
    <w:basedOn w:val="Normal"/>
    <w:next w:val="Normal"/>
    <w:qFormat/>
    <w:pPr>
      <w:keepNext/>
      <w:spacing w:before="240" w:after="60"/>
      <w:outlineLvl w:val="0"/>
    </w:pPr>
    <w:rPr>
      <w:b/>
      <w:sz w:val="22"/>
    </w:rPr>
  </w:style>
  <w:style w:type="paragraph" w:styleId="Heading2">
    <w:name w:val="heading 2"/>
    <w:basedOn w:val="Normal"/>
    <w:next w:val="Normal"/>
    <w:qFormat/>
    <w:pPr>
      <w:keepNext/>
      <w:spacing w:before="240" w:after="60"/>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9072"/>
      </w:tabs>
      <w:spacing w:after="0" w:line="240" w:lineRule="auto"/>
    </w:pPr>
  </w:style>
  <w:style w:type="paragraph" w:styleId="Header">
    <w:name w:val="header"/>
    <w:basedOn w:val="Normal"/>
    <w:pPr>
      <w:tabs>
        <w:tab w:val="center" w:pos="4536"/>
        <w:tab w:val="right" w:pos="9072"/>
      </w:tabs>
      <w:spacing w:after="0" w:line="240" w:lineRule="auto"/>
    </w:pPr>
  </w:style>
  <w:style w:type="paragraph" w:customStyle="1" w:styleId="Besedilooblaka1">
    <w:name w:val="Besedilo oblačka1"/>
    <w:basedOn w:val="Normal"/>
    <w:pPr>
      <w:spacing w:after="0" w:line="240" w:lineRule="auto"/>
    </w:pPr>
    <w:rPr>
      <w:rFonts w:ascii="Tahoma" w:hAnsi="Tahoma" w:cs="Tahoma"/>
      <w:sz w:val="16"/>
    </w:rPr>
  </w:style>
  <w:style w:type="paragraph" w:customStyle="1" w:styleId="Brezrazmikov1">
    <w:name w:val="Brez razmikov1"/>
    <w:qFormat/>
    <w:rPr>
      <w:rFonts w:ascii="Trebuchet MS" w:hAnsi="Trebuchet MS" w:cs="Trebuchet MS"/>
    </w:rPr>
  </w:style>
  <w:style w:type="paragraph" w:styleId="Title">
    <w:name w:val="Title"/>
    <w:basedOn w:val="Normal"/>
    <w:next w:val="Normal"/>
    <w:qFormat/>
    <w:pPr>
      <w:spacing w:before="240" w:after="60"/>
      <w:jc w:val="center"/>
    </w:pPr>
    <w:rPr>
      <w:b/>
      <w:sz w:val="32"/>
    </w:rPr>
  </w:style>
  <w:style w:type="paragraph" w:styleId="Subtitle">
    <w:name w:val="Subtitle"/>
    <w:basedOn w:val="Normal"/>
    <w:next w:val="Normal"/>
    <w:qFormat/>
    <w:pPr>
      <w:spacing w:after="60"/>
      <w:jc w:val="center"/>
    </w:pPr>
    <w:rPr>
      <w:sz w:val="24"/>
    </w:rPr>
  </w:style>
  <w:style w:type="paragraph" w:customStyle="1" w:styleId="Citat1">
    <w:name w:val="Citat1"/>
    <w:basedOn w:val="Normal"/>
    <w:next w:val="Normal"/>
    <w:rPr>
      <w:i/>
      <w:color w:val="000000"/>
    </w:rPr>
  </w:style>
  <w:style w:type="paragraph" w:customStyle="1" w:styleId="Intenzivencitat1">
    <w:name w:val="Intenziven citat1"/>
    <w:basedOn w:val="Normal"/>
    <w:next w:val="Normal"/>
    <w:pPr>
      <w:pBdr>
        <w:bottom w:val="single" w:sz="6" w:space="4" w:color="C0C0C0"/>
      </w:pBdr>
      <w:spacing w:before="200" w:after="280"/>
      <w:ind w:left="936" w:right="936"/>
    </w:pPr>
    <w:rPr>
      <w:b/>
      <w:i/>
      <w:color w:val="FFFF00"/>
    </w:rPr>
  </w:style>
  <w:style w:type="paragraph" w:customStyle="1" w:styleId="Odstavekseznama1">
    <w:name w:val="Odstavek seznama1"/>
    <w:basedOn w:val="Normal"/>
    <w:pPr>
      <w:ind w:left="708"/>
    </w:pPr>
  </w:style>
  <w:style w:type="paragraph" w:styleId="BodyText">
    <w:name w:val="Body Text"/>
    <w:basedOn w:val="Normal"/>
    <w:pPr>
      <w:spacing w:after="0" w:line="240" w:lineRule="auto"/>
      <w:jc w:val="both"/>
    </w:pPr>
    <w:rPr>
      <w:rFonts w:ascii="Arial" w:hAnsi="Arial" w:cs="Arial"/>
      <w:sz w:val="22"/>
    </w:rPr>
  </w:style>
  <w:style w:type="paragraph" w:customStyle="1" w:styleId="HTML-oblikovano1">
    <w:name w:val="HTML-oblikovano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12"/>
      <w:lang w:val="en-US"/>
    </w:rPr>
  </w:style>
  <w:style w:type="paragraph" w:styleId="BalloonText">
    <w:name w:val="Balloon Text"/>
    <w:basedOn w:val="Normal"/>
    <w:link w:val="BalloonTextChar"/>
    <w:uiPriority w:val="99"/>
    <w:semiHidden/>
    <w:unhideWhenUsed/>
    <w:rsid w:val="006D33F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D33F8"/>
    <w:rPr>
      <w:rFonts w:ascii="Tahoma" w:hAnsi="Tahoma" w:cs="Tahoma"/>
      <w:sz w:val="16"/>
      <w:szCs w:val="16"/>
    </w:rPr>
  </w:style>
  <w:style w:type="character" w:styleId="Hyperlink">
    <w:name w:val="Hyperlink"/>
    <w:uiPriority w:val="99"/>
    <w:unhideWhenUsed/>
    <w:rsid w:val="006D33F8"/>
    <w:rPr>
      <w:color w:val="0000FF"/>
      <w:u w:val="single"/>
    </w:rPr>
  </w:style>
  <w:style w:type="character" w:styleId="CommentReference">
    <w:name w:val="annotation reference"/>
    <w:uiPriority w:val="99"/>
    <w:semiHidden/>
    <w:unhideWhenUsed/>
    <w:rsid w:val="00C106CF"/>
    <w:rPr>
      <w:sz w:val="16"/>
      <w:szCs w:val="16"/>
    </w:rPr>
  </w:style>
  <w:style w:type="paragraph" w:styleId="CommentText">
    <w:name w:val="annotation text"/>
    <w:basedOn w:val="Normal"/>
    <w:link w:val="CommentTextChar"/>
    <w:uiPriority w:val="99"/>
    <w:unhideWhenUsed/>
    <w:rsid w:val="00C106CF"/>
  </w:style>
  <w:style w:type="character" w:customStyle="1" w:styleId="CommentTextChar">
    <w:name w:val="Comment Text Char"/>
    <w:link w:val="CommentText"/>
    <w:uiPriority w:val="99"/>
    <w:rsid w:val="00C106CF"/>
    <w:rPr>
      <w:rFonts w:ascii="Trebuchet MS" w:hAnsi="Trebuchet MS" w:cs="Trebuchet MS"/>
    </w:rPr>
  </w:style>
  <w:style w:type="paragraph" w:styleId="CommentSubject">
    <w:name w:val="annotation subject"/>
    <w:basedOn w:val="CommentText"/>
    <w:next w:val="CommentText"/>
    <w:link w:val="CommentSubjectChar"/>
    <w:uiPriority w:val="99"/>
    <w:semiHidden/>
    <w:unhideWhenUsed/>
    <w:rsid w:val="00C106CF"/>
    <w:rPr>
      <w:b/>
      <w:bCs/>
    </w:rPr>
  </w:style>
  <w:style w:type="character" w:customStyle="1" w:styleId="CommentSubjectChar">
    <w:name w:val="Comment Subject Char"/>
    <w:link w:val="CommentSubject"/>
    <w:uiPriority w:val="99"/>
    <w:semiHidden/>
    <w:rsid w:val="00C106CF"/>
    <w:rPr>
      <w:rFonts w:ascii="Trebuchet MS" w:hAnsi="Trebuchet MS" w:cs="Trebuchet MS"/>
      <w:b/>
      <w:bCs/>
    </w:rPr>
  </w:style>
  <w:style w:type="paragraph" w:styleId="Revision">
    <w:name w:val="Revision"/>
    <w:hidden/>
    <w:uiPriority w:val="99"/>
    <w:semiHidden/>
    <w:rsid w:val="00C75008"/>
    <w:rPr>
      <w:rFonts w:ascii="Trebuchet MS" w:hAnsi="Trebuchet MS" w:cs="Trebuchet MS"/>
    </w:rPr>
  </w:style>
  <w:style w:type="paragraph" w:styleId="ListParagraph">
    <w:name w:val="List Paragraph"/>
    <w:basedOn w:val="Normal"/>
    <w:uiPriority w:val="34"/>
    <w:qFormat/>
    <w:rsid w:val="009F0344"/>
    <w:pPr>
      <w:spacing w:line="276" w:lineRule="auto"/>
      <w:ind w:left="720"/>
      <w:contextualSpacing/>
    </w:pPr>
    <w:rPr>
      <w:rFonts w:eastAsia="Calibri" w:cs="Times New Roman"/>
      <w:szCs w:val="22"/>
      <w:lang w:eastAsia="en-US"/>
    </w:rPr>
  </w:style>
  <w:style w:type="table" w:styleId="TableGrid">
    <w:name w:val="Table Grid"/>
    <w:basedOn w:val="TableNormal"/>
    <w:uiPriority w:val="39"/>
    <w:rsid w:val="00433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117E0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7275">
      <w:bodyDiv w:val="1"/>
      <w:marLeft w:val="0"/>
      <w:marRight w:val="0"/>
      <w:marTop w:val="0"/>
      <w:marBottom w:val="0"/>
      <w:divBdr>
        <w:top w:val="none" w:sz="0" w:space="0" w:color="auto"/>
        <w:left w:val="none" w:sz="0" w:space="0" w:color="auto"/>
        <w:bottom w:val="none" w:sz="0" w:space="0" w:color="auto"/>
        <w:right w:val="none" w:sz="0" w:space="0" w:color="auto"/>
      </w:divBdr>
    </w:div>
    <w:div w:id="1030498551">
      <w:bodyDiv w:val="1"/>
      <w:marLeft w:val="0"/>
      <w:marRight w:val="0"/>
      <w:marTop w:val="0"/>
      <w:marBottom w:val="0"/>
      <w:divBdr>
        <w:top w:val="none" w:sz="0" w:space="0" w:color="auto"/>
        <w:left w:val="none" w:sz="0" w:space="0" w:color="auto"/>
        <w:bottom w:val="none" w:sz="0" w:space="0" w:color="auto"/>
        <w:right w:val="none" w:sz="0" w:space="0" w:color="auto"/>
      </w:divBdr>
    </w:div>
    <w:div w:id="1473206003">
      <w:bodyDiv w:val="1"/>
      <w:marLeft w:val="0"/>
      <w:marRight w:val="0"/>
      <w:marTop w:val="0"/>
      <w:marBottom w:val="0"/>
      <w:divBdr>
        <w:top w:val="none" w:sz="0" w:space="0" w:color="auto"/>
        <w:left w:val="none" w:sz="0" w:space="0" w:color="auto"/>
        <w:bottom w:val="none" w:sz="0" w:space="0" w:color="auto"/>
        <w:right w:val="none" w:sz="0" w:space="0" w:color="auto"/>
      </w:divBdr>
    </w:div>
    <w:div w:id="1489859788">
      <w:bodyDiv w:val="1"/>
      <w:marLeft w:val="0"/>
      <w:marRight w:val="0"/>
      <w:marTop w:val="0"/>
      <w:marBottom w:val="0"/>
      <w:divBdr>
        <w:top w:val="none" w:sz="0" w:space="0" w:color="auto"/>
        <w:left w:val="none" w:sz="0" w:space="0" w:color="auto"/>
        <w:bottom w:val="none" w:sz="0" w:space="0" w:color="auto"/>
        <w:right w:val="none" w:sz="0" w:space="0" w:color="auto"/>
      </w:divBdr>
    </w:div>
    <w:div w:id="2012904121">
      <w:bodyDiv w:val="1"/>
      <w:marLeft w:val="0"/>
      <w:marRight w:val="0"/>
      <w:marTop w:val="0"/>
      <w:marBottom w:val="0"/>
      <w:divBdr>
        <w:top w:val="none" w:sz="0" w:space="0" w:color="auto"/>
        <w:left w:val="none" w:sz="0" w:space="0" w:color="auto"/>
        <w:bottom w:val="none" w:sz="0" w:space="0" w:color="auto"/>
        <w:right w:val="none" w:sz="0" w:space="0" w:color="auto"/>
      </w:divBdr>
    </w:div>
    <w:div w:id="20480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EA194-FBB5-4F19-AC7C-E9132EA9A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1025</Words>
  <Characters>6076</Characters>
  <Application>Microsoft Office Word</Application>
  <DocSecurity>0</DocSecurity>
  <Lines>50</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 40105-xxxx/11-33</vt:lpstr>
      <vt:lpstr>Številka: 40105-xxxx/11-33</vt:lpstr>
    </vt:vector>
  </TitlesOfParts>
  <Company>AZN</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40105-xxxx/11-33</dc:title>
  <dc:subject/>
  <dc:creator>mzajc</dc:creator>
  <cp:keywords/>
  <cp:lastModifiedBy>Aleš Kavšek</cp:lastModifiedBy>
  <cp:revision>3</cp:revision>
  <cp:lastPrinted>2023-04-20T06:53:00Z</cp:lastPrinted>
  <dcterms:created xsi:type="dcterms:W3CDTF">2025-02-19T08:26:00Z</dcterms:created>
  <dcterms:modified xsi:type="dcterms:W3CDTF">2025-02-19T08:26:00Z</dcterms:modified>
</cp:coreProperties>
</file>