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5E754" w14:textId="77777777" w:rsidR="00BC13EE" w:rsidRDefault="00BC13EE">
      <w:pPr>
        <w:pStyle w:val="Brezrazmikov1"/>
        <w:tabs>
          <w:tab w:val="left" w:pos="851"/>
        </w:tabs>
        <w:spacing w:line="276" w:lineRule="atLeast"/>
        <w:rPr>
          <w:b/>
        </w:rPr>
        <w:sectPr w:rsidR="00BC13EE" w:rsidSect="00C576DB">
          <w:headerReference w:type="even" r:id="rId11"/>
          <w:headerReference w:type="default" r:id="rId12"/>
          <w:footerReference w:type="even" r:id="rId13"/>
          <w:footerReference w:type="default" r:id="rId14"/>
          <w:headerReference w:type="first" r:id="rId15"/>
          <w:footerReference w:type="first" r:id="rId16"/>
          <w:pgSz w:w="11907" w:h="16840"/>
          <w:pgMar w:top="2268" w:right="1134" w:bottom="1418" w:left="1134" w:header="1134" w:footer="964" w:gutter="0"/>
          <w:cols w:space="708"/>
        </w:sectPr>
      </w:pPr>
    </w:p>
    <w:p w14:paraId="003C1E96" w14:textId="66A5B764" w:rsidR="00C61F30" w:rsidRPr="00EA0472" w:rsidRDefault="00C61F30" w:rsidP="00045B1F">
      <w:pPr>
        <w:pStyle w:val="Brezrazmikov1"/>
        <w:tabs>
          <w:tab w:val="left" w:pos="993"/>
        </w:tabs>
        <w:spacing w:line="300" w:lineRule="atLeast"/>
        <w:rPr>
          <w:b/>
          <w:bCs/>
        </w:rPr>
      </w:pPr>
      <w:r w:rsidRPr="00EA0472">
        <w:rPr>
          <w:b/>
          <w:bCs/>
        </w:rPr>
        <w:t>Številka:</w:t>
      </w:r>
      <w:r w:rsidR="00045B1F">
        <w:rPr>
          <w:b/>
          <w:bCs/>
        </w:rPr>
        <w:tab/>
      </w:r>
      <w:r w:rsidR="00EA0472" w:rsidRPr="00EA0472">
        <w:rPr>
          <w:b/>
          <w:bCs/>
        </w:rPr>
        <w:t>40109-33/2026-1</w:t>
      </w:r>
    </w:p>
    <w:p w14:paraId="4AC1F8EB" w14:textId="76F08813" w:rsidR="00C61F30" w:rsidRPr="00045B1F" w:rsidRDefault="00C61F30" w:rsidP="00045B1F">
      <w:pPr>
        <w:pStyle w:val="Brezrazmikov1"/>
        <w:tabs>
          <w:tab w:val="left" w:pos="993"/>
        </w:tabs>
        <w:spacing w:line="300" w:lineRule="atLeast"/>
        <w:rPr>
          <w:b/>
          <w:bCs/>
        </w:rPr>
      </w:pPr>
      <w:r>
        <w:rPr>
          <w:b/>
          <w:bCs/>
        </w:rPr>
        <w:t xml:space="preserve">Datum:  </w:t>
      </w:r>
      <w:r w:rsidR="00045B1F">
        <w:rPr>
          <w:b/>
          <w:bCs/>
        </w:rPr>
        <w:tab/>
      </w:r>
      <w:r>
        <w:rPr>
          <w:b/>
          <w:bCs/>
        </w:rPr>
        <w:t>1. 10. 2026</w:t>
      </w:r>
    </w:p>
    <w:p w14:paraId="1E06EF3D" w14:textId="77777777" w:rsidR="00092801" w:rsidRDefault="00092801" w:rsidP="00531377">
      <w:pPr>
        <w:pStyle w:val="Heading1"/>
        <w:rPr>
          <w:sz w:val="24"/>
          <w:szCs w:val="24"/>
        </w:rPr>
      </w:pPr>
    </w:p>
    <w:p w14:paraId="2DBBE1C3" w14:textId="77777777" w:rsidR="00885BC2" w:rsidRDefault="00885BC2" w:rsidP="00531377">
      <w:pPr>
        <w:pStyle w:val="Heading1"/>
        <w:rPr>
          <w:sz w:val="24"/>
          <w:szCs w:val="24"/>
        </w:rPr>
      </w:pPr>
    </w:p>
    <w:p w14:paraId="45028DAE" w14:textId="67D9E891" w:rsidR="000012C3" w:rsidRPr="00C645C1" w:rsidRDefault="001B7D67" w:rsidP="00531377">
      <w:pPr>
        <w:pStyle w:val="Heading1"/>
        <w:rPr>
          <w:sz w:val="24"/>
          <w:szCs w:val="24"/>
        </w:rPr>
      </w:pPr>
      <w:r w:rsidRPr="00C645C1">
        <w:rPr>
          <w:sz w:val="24"/>
          <w:szCs w:val="24"/>
        </w:rPr>
        <w:t>Nadzorniška pričakovanja glede izvajanja POG zahtev pri zavarovalnih naložbenih produktih</w:t>
      </w:r>
    </w:p>
    <w:p w14:paraId="1399B878" w14:textId="77777777" w:rsidR="00123769" w:rsidRPr="00C645C1" w:rsidRDefault="00123769" w:rsidP="00531377">
      <w:pPr>
        <w:pStyle w:val="Heading2"/>
      </w:pPr>
      <w:r w:rsidRPr="00C645C1">
        <w:t>Namenjeno zavarovalnicam in drugim razvijalcem zavarovalnih naložbenih produktov</w:t>
      </w:r>
    </w:p>
    <w:p w14:paraId="10C55504" w14:textId="77777777" w:rsidR="00ED3957" w:rsidRDefault="00ED3957">
      <w:pPr>
        <w:pStyle w:val="Navaden4"/>
        <w:rPr>
          <w:sz w:val="24"/>
          <w:szCs w:val="24"/>
        </w:rPr>
      </w:pPr>
      <w:r>
        <w:t>Agencija za zavarovalni nadzor (Agencija) pojasnjuje, kako pri zavarovalnih naložbenih produktih (IBIP) presoja učinkovito, sorazmerno in dokazljivo izvajanje zahtev upravljanja in nadzora nad produkti (POG). Zavarovalnica oziroma drug razvijalec zavarovalnih naložbenih produktov (v nadaljevanju: razvijalec) mora dokazati, da produkt skozi celoten življenjski cikel ustreza opredeljenemu ciljnemu trgu. Dokument ne posega v veljavne predpise in ne ustvarja novih pravnih obveznosti.</w:t>
      </w:r>
    </w:p>
    <w:p w14:paraId="1B09FA20" w14:textId="77777777" w:rsidR="00C61F30" w:rsidRDefault="00C61F30" w:rsidP="00C61F30">
      <w:pPr>
        <w:pStyle w:val="Toka"/>
        <w:rPr>
          <w:kern w:val="2"/>
          <w14:ligatures w14:val="standardContextual"/>
        </w:rPr>
      </w:pPr>
      <w:r>
        <w:rPr>
          <w:rStyle w:val="SubtleEmphasis"/>
        </w:rPr>
        <w:t>Ključna nadzorniška pričakovanja</w:t>
      </w:r>
    </w:p>
    <w:p w14:paraId="7AAB7828" w14:textId="77777777" w:rsidR="00C61F30" w:rsidRDefault="00C61F30">
      <w:pPr>
        <w:pStyle w:val="Navaden5"/>
      </w:pPr>
      <w:r>
        <w:t>POG izvajajte kot povezan sistem upravljanja produkta.</w:t>
      </w:r>
    </w:p>
    <w:p w14:paraId="340E6050" w14:textId="77777777" w:rsidR="00C61F30" w:rsidRDefault="00C61F30">
      <w:pPr>
        <w:pStyle w:val="Navaden5"/>
        <w:spacing w:after="0"/>
      </w:pPr>
      <w:r>
        <w:t>Agencija pričakuje, da razvijalec IBIP:</w:t>
      </w:r>
    </w:p>
    <w:p w14:paraId="69108FA7" w14:textId="77777777" w:rsidR="00C61F30" w:rsidRDefault="00C61F30" w:rsidP="00C94F26">
      <w:pPr>
        <w:pStyle w:val="ListParagraph"/>
        <w:numPr>
          <w:ilvl w:val="0"/>
          <w:numId w:val="1"/>
        </w:numPr>
        <w:rPr>
          <w:kern w:val="2"/>
          <w:szCs w:val="20"/>
          <w14:ligatures w14:val="standardContextual"/>
        </w:rPr>
      </w:pPr>
      <w:r>
        <w:t>kompleksnost produkta določi po objektivni in ponovljivi metodologiji;</w:t>
      </w:r>
    </w:p>
    <w:p w14:paraId="068AF28B" w14:textId="77777777" w:rsidR="00C61F30" w:rsidRDefault="00C61F30" w:rsidP="00C94F26">
      <w:pPr>
        <w:pStyle w:val="ListParagraph"/>
        <w:numPr>
          <w:ilvl w:val="0"/>
          <w:numId w:val="1"/>
        </w:numPr>
        <w:rPr>
          <w:kern w:val="2"/>
          <w:szCs w:val="20"/>
          <w14:ligatures w14:val="standardContextual"/>
        </w:rPr>
      </w:pPr>
      <w:r>
        <w:t>ciljni in negativni ciljni trg opredeli konkretno in preverljivo;</w:t>
      </w:r>
    </w:p>
    <w:p w14:paraId="6F907011" w14:textId="77777777" w:rsidR="00C61F30" w:rsidRDefault="00C61F30" w:rsidP="00C94F26">
      <w:pPr>
        <w:pStyle w:val="ListParagraph"/>
        <w:numPr>
          <w:ilvl w:val="0"/>
          <w:numId w:val="1"/>
        </w:numPr>
        <w:rPr>
          <w:kern w:val="2"/>
          <w:szCs w:val="20"/>
          <w14:ligatures w14:val="standardContextual"/>
        </w:rPr>
      </w:pPr>
      <w:r>
        <w:t>ločeno izvede finančno oziroma produktno in potrošniško testiranje;</w:t>
      </w:r>
    </w:p>
    <w:p w14:paraId="03204A28" w14:textId="77777777" w:rsidR="00C61F30" w:rsidRDefault="00C61F30" w:rsidP="00C94F26">
      <w:pPr>
        <w:pStyle w:val="ListParagraph"/>
        <w:numPr>
          <w:ilvl w:val="0"/>
          <w:numId w:val="1"/>
        </w:numPr>
        <w:rPr>
          <w:kern w:val="2"/>
          <w:szCs w:val="20"/>
          <w14:ligatures w14:val="standardContextual"/>
        </w:rPr>
      </w:pPr>
      <w:r>
        <w:t>distribucijo prilagodi produktu in ciljnemu trgu;</w:t>
      </w:r>
    </w:p>
    <w:p w14:paraId="1EBA8191" w14:textId="77777777" w:rsidR="00C61F30" w:rsidRDefault="00C61F30" w:rsidP="00C94F26">
      <w:pPr>
        <w:pStyle w:val="ListParagraph"/>
        <w:numPr>
          <w:ilvl w:val="0"/>
          <w:numId w:val="1"/>
        </w:numPr>
        <w:rPr>
          <w:kern w:val="2"/>
          <w:szCs w:val="20"/>
          <w14:ligatures w14:val="standardContextual"/>
        </w:rPr>
      </w:pPr>
      <w:r>
        <w:t>spremlja rezultate za potrošnike in ob odstopanjih ukrepa;</w:t>
      </w:r>
    </w:p>
    <w:p w14:paraId="7CD34C52" w14:textId="77777777" w:rsidR="00C61F30" w:rsidRDefault="00C61F30" w:rsidP="00C94F26">
      <w:pPr>
        <w:pStyle w:val="ListParagraph"/>
        <w:numPr>
          <w:ilvl w:val="0"/>
          <w:numId w:val="1"/>
        </w:numPr>
        <w:rPr>
          <w:kern w:val="2"/>
          <w:szCs w:val="20"/>
          <w14:ligatures w14:val="standardContextual"/>
        </w:rPr>
      </w:pPr>
      <w:r>
        <w:t>zagotovi popolno in preverljivo dokazno sled.</w:t>
      </w:r>
    </w:p>
    <w:p w14:paraId="3D498E18" w14:textId="77777777" w:rsidR="00C61F30" w:rsidRDefault="00C61F30">
      <w:pPr>
        <w:pStyle w:val="Navaden4"/>
        <w:rPr>
          <w:sz w:val="24"/>
          <w:szCs w:val="24"/>
        </w:rPr>
      </w:pPr>
      <w:r>
        <w:rPr>
          <w:b/>
          <w:bCs/>
        </w:rPr>
        <w:t>Pričakovanje:</w:t>
      </w:r>
      <w:r>
        <w:t xml:space="preserve"> Razvijalec mora POG zahteve izvajati vsebinsko. Kompleksnost produkta, ciljni in negativni ciljni trg, testiranje, distribucija, pregled produkta in popravni ukrepi morajo tvoriti usklajen sistem.</w:t>
      </w:r>
    </w:p>
    <w:p w14:paraId="7965BA6C" w14:textId="77777777" w:rsidR="00ED3957" w:rsidRDefault="00ED3957">
      <w:pPr>
        <w:pStyle w:val="Navaden4"/>
        <w:rPr>
          <w:sz w:val="24"/>
          <w:szCs w:val="24"/>
        </w:rPr>
      </w:pPr>
      <w:r>
        <w:rPr>
          <w:b/>
          <w:bCs/>
        </w:rPr>
        <w:t>Dokazilo:</w:t>
      </w:r>
      <w:r>
        <w:t xml:space="preserve"> Za vsak IBIP mora pokazati, komu je namenjen in komu ni, zakaj ustreza ciljnemu trgu, kako je to preveril pred trženjem ter kako ustreznost spremlja in prilagaja.</w:t>
      </w:r>
    </w:p>
    <w:p w14:paraId="1382C97A" w14:textId="2DC7DBD2" w:rsidR="007500B7" w:rsidRDefault="007500B7" w:rsidP="00FE4089">
      <w:pPr>
        <w:pStyle w:val="Toka"/>
        <w:rPr>
          <w:kern w:val="2"/>
          <w14:ligatures w14:val="standardContextual"/>
        </w:rPr>
      </w:pPr>
      <w:r w:rsidRPr="00FE4089">
        <w:t>Kompleksnost produkta določa intenzivnost POG ureditev</w:t>
      </w:r>
    </w:p>
    <w:p w14:paraId="35E3C7B4" w14:textId="12DB2BC0" w:rsidR="007500B7" w:rsidRDefault="007500B7">
      <w:pPr>
        <w:pStyle w:val="Navaden4"/>
        <w:rPr>
          <w:sz w:val="24"/>
          <w:szCs w:val="24"/>
        </w:rPr>
      </w:pPr>
      <w:r>
        <w:rPr>
          <w:b/>
          <w:bCs/>
        </w:rPr>
        <w:t>Pričakovanje:</w:t>
      </w:r>
      <w:r>
        <w:t xml:space="preserve"> Razvijalec </w:t>
      </w:r>
      <w:r w:rsidR="00F87985">
        <w:t xml:space="preserve">mora </w:t>
      </w:r>
      <w:r>
        <w:t xml:space="preserve">ureditve POG </w:t>
      </w:r>
      <w:r w:rsidR="00F87985">
        <w:t>prilagoditi</w:t>
      </w:r>
      <w:r>
        <w:t xml:space="preserve"> kompleksnosti produkta, tveganjem za potrošnika in načinu distribucije. Kompleksnost vsakega IBIP </w:t>
      </w:r>
      <w:r w:rsidR="00F87985">
        <w:t>mora določiti</w:t>
      </w:r>
      <w:r>
        <w:t xml:space="preserve"> na podlagi objektivne, dokumentirane in ponovljive metodologije z vnaprej določenimi merili, načinom vrednotenja, podatkovnimi viri in pragovi. Vsako strokovno odstopanje mora biti obrazloženo in odobreno. </w:t>
      </w:r>
      <w:r w:rsidR="00F87985">
        <w:t>Pri presoji mora upoštevati</w:t>
      </w:r>
      <w:r>
        <w:t xml:space="preserve"> zlasti naložbeno strukturo, garancije, stroške, likvidnost, tveganje izgube, obdobje </w:t>
      </w:r>
      <w:proofErr w:type="spellStart"/>
      <w:r>
        <w:t>imetništva</w:t>
      </w:r>
      <w:proofErr w:type="spellEnd"/>
      <w:r>
        <w:t>, naložbene možnosti in razumljivost produkta.</w:t>
      </w:r>
    </w:p>
    <w:p w14:paraId="359073B4" w14:textId="683306AD" w:rsidR="00183523" w:rsidRDefault="007500B7">
      <w:pPr>
        <w:pStyle w:val="Navaden4"/>
      </w:pPr>
      <w:r>
        <w:rPr>
          <w:b/>
          <w:bCs/>
        </w:rPr>
        <w:t>Dokazilo in posledica:</w:t>
      </w:r>
      <w:r>
        <w:t xml:space="preserve"> Dokumentacija </w:t>
      </w:r>
      <w:r w:rsidR="00BB08E0">
        <w:t>mora vsebovati</w:t>
      </w:r>
      <w:r>
        <w:t xml:space="preserve"> merila, vrednotenje, stopnjo kompleksnosti, utemeljitev, datum in odobritev ter </w:t>
      </w:r>
      <w:r w:rsidR="00BB08E0">
        <w:t>prikazovati</w:t>
      </w:r>
      <w:r>
        <w:t xml:space="preserve"> vpliv ocene kompleksnosti na ciljni trg, testiranje, distribucijske varovalke, pogostost pregledov in obseg dokumentiranja. Sorazmernost pomeni prilagoditev globine obravnave, ne pa opustitve teh elementov.</w:t>
      </w:r>
    </w:p>
    <w:p w14:paraId="08940A58" w14:textId="77777777" w:rsidR="00183523" w:rsidRDefault="00183523">
      <w:pPr>
        <w:spacing w:after="0" w:line="240" w:lineRule="auto"/>
        <w:jc w:val="left"/>
        <w:rPr>
          <w:rFonts w:cs="Times New Roman"/>
          <w:kern w:val="2"/>
          <w14:ligatures w14:val="standardContextual"/>
        </w:rPr>
      </w:pPr>
      <w:r>
        <w:br w:type="page"/>
      </w:r>
    </w:p>
    <w:p w14:paraId="136BB3C1" w14:textId="581C3C26" w:rsidR="007500B7" w:rsidRDefault="007500B7" w:rsidP="008B286B">
      <w:pPr>
        <w:pStyle w:val="Toka"/>
        <w:rPr>
          <w:kern w:val="2"/>
          <w14:ligatures w14:val="standardContextual"/>
        </w:rPr>
      </w:pPr>
      <w:r>
        <w:lastRenderedPageBreak/>
        <w:t xml:space="preserve">Ciljni trg </w:t>
      </w:r>
      <w:r w:rsidR="008B286B">
        <w:t>mora biti</w:t>
      </w:r>
      <w:r>
        <w:t xml:space="preserve"> opredeljen konkretno in preverljivo</w:t>
      </w:r>
    </w:p>
    <w:p w14:paraId="5DA34E32" w14:textId="77777777" w:rsidR="00C61F30" w:rsidRDefault="00C61F30">
      <w:pPr>
        <w:pStyle w:val="Navaden4"/>
        <w:rPr>
          <w:sz w:val="24"/>
          <w:szCs w:val="24"/>
        </w:rPr>
      </w:pPr>
      <w:r>
        <w:rPr>
          <w:b/>
          <w:bCs/>
        </w:rPr>
        <w:t>Pozitivni ciljni trg:</w:t>
      </w:r>
      <w:r>
        <w:t xml:space="preserve"> Razvijalec mora za vsak IBIP določiti skupine potrošnikov, ki jim je produkt namenjen. Če se njihove potrebe, cilji, naložbeni horizont, likvidnost, finančni položaj, sposobnost prevzemanja izgub ali plačevanja premije, toleranca do tveganja oziroma življenjske okoliščine pomembno razlikujejo, se ciljni trg razdeli na ožje segmente.</w:t>
      </w:r>
    </w:p>
    <w:p w14:paraId="73828CD9" w14:textId="77777777" w:rsidR="00C61F30" w:rsidRDefault="00C61F30">
      <w:pPr>
        <w:pStyle w:val="Navaden4"/>
        <w:rPr>
          <w:sz w:val="24"/>
          <w:szCs w:val="24"/>
        </w:rPr>
      </w:pPr>
      <w:r>
        <w:rPr>
          <w:b/>
          <w:bCs/>
        </w:rPr>
        <w:t>Primer:</w:t>
      </w:r>
      <w:r>
        <w:t xml:space="preserve"> Starostni razpon od 25 do 65 let je praviloma preširok: potrošniki v takšnem starostnem razponu imajo lahko bistveno različen naložbeni horizont, namen sklenitve, likvidnostne potrebe, finančni položaj in sposobnost prevzemanja izgub. Razvijalec zato razpon segmentira in določi konkretna, preverljiva merila.</w:t>
      </w:r>
    </w:p>
    <w:p w14:paraId="3ACB2AB2" w14:textId="77777777" w:rsidR="00ED3957" w:rsidRDefault="00ED3957">
      <w:pPr>
        <w:pStyle w:val="Navaden4"/>
        <w:rPr>
          <w:sz w:val="24"/>
          <w:szCs w:val="24"/>
        </w:rPr>
      </w:pPr>
      <w:r>
        <w:rPr>
          <w:b/>
          <w:bCs/>
        </w:rPr>
        <w:t>Operativna uporaba:</w:t>
      </w:r>
      <w:r>
        <w:t xml:space="preserve"> Za vsak segment se določi ustrezna konfiguracija produkta, merila pa se prenesejo v vprašalnike, prodajna pravila, opozorila, omejitve in kontrole. Splošni izrazi ne zadoščajo.</w:t>
      </w:r>
    </w:p>
    <w:p w14:paraId="14DD5281" w14:textId="77777777" w:rsidR="00AE2EC9" w:rsidRDefault="00AE2EC9">
      <w:pPr>
        <w:pStyle w:val="Navaden4"/>
        <w:rPr>
          <w:sz w:val="24"/>
          <w:szCs w:val="24"/>
        </w:rPr>
      </w:pPr>
      <w:r>
        <w:rPr>
          <w:b/>
          <w:bCs/>
        </w:rPr>
        <w:t>Negativni ciljni trg:</w:t>
      </w:r>
      <w:r>
        <w:t xml:space="preserve"> Negativni ciljni trg mora biti samostojen del sistema POG. Razvijalec navede značilnosti in tveganja, zaradi katerih je produkt za določene potrošnike neustrezen, ter določi jasne posledice za prodajo.</w:t>
      </w:r>
    </w:p>
    <w:p w14:paraId="53480766" w14:textId="77777777" w:rsidR="00C61F30" w:rsidRDefault="00C61F30">
      <w:pPr>
        <w:pStyle w:val="Navaden4"/>
        <w:rPr>
          <w:sz w:val="24"/>
          <w:szCs w:val="24"/>
        </w:rPr>
      </w:pPr>
      <w:r>
        <w:rPr>
          <w:b/>
          <w:bCs/>
        </w:rPr>
        <w:t>Dokazilo:</w:t>
      </w:r>
      <w:r>
        <w:t xml:space="preserve"> Ciljni in negativni ciljni trg morata biti razvidna iz zasnove produkta, vprašalnikov, prodajnih pravil, opozoril, omejitev distribucije in rednega pregleda.</w:t>
      </w:r>
    </w:p>
    <w:p w14:paraId="264A49F7" w14:textId="77777777" w:rsidR="00C61F30" w:rsidRDefault="00C61F30" w:rsidP="00C61F30">
      <w:pPr>
        <w:pStyle w:val="Toka"/>
        <w:rPr>
          <w:kern w:val="2"/>
          <w14:ligatures w14:val="standardContextual"/>
        </w:rPr>
      </w:pPr>
      <w:r>
        <w:t>Pred trženjem se preveri finančne in potrošniške rezultate</w:t>
      </w:r>
    </w:p>
    <w:p w14:paraId="4657A61C" w14:textId="75986E79" w:rsidR="007500B7" w:rsidRDefault="007500B7">
      <w:pPr>
        <w:pStyle w:val="Navaden4"/>
        <w:rPr>
          <w:sz w:val="24"/>
          <w:szCs w:val="24"/>
        </w:rPr>
      </w:pPr>
      <w:r>
        <w:rPr>
          <w:b/>
          <w:bCs/>
        </w:rPr>
        <w:t>Pričakovanje:</w:t>
      </w:r>
      <w:r>
        <w:t xml:space="preserve"> Pred trženjem mora razvijalec preveriti ustreznost produkta ciljnemu trgu. Finančno oziroma produktno testiranje </w:t>
      </w:r>
      <w:r w:rsidR="005F6191">
        <w:t>mora zajemati</w:t>
      </w:r>
      <w:r>
        <w:t xml:space="preserve"> donosnost, stroške, likvidnost, garancije in naložbene možnosti, potrošniško </w:t>
      </w:r>
      <w:r w:rsidR="005F6191">
        <w:t xml:space="preserve">testiranje </w:t>
      </w:r>
      <w:r>
        <w:t>pa razumevanje, pričakovanja, ustreznost ciljnega trga in tveganje napačnih odločitev.</w:t>
      </w:r>
    </w:p>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835"/>
        <w:gridCol w:w="2975"/>
        <w:gridCol w:w="4813"/>
      </w:tblGrid>
      <w:tr w:rsidR="00C3334B" w:rsidRPr="00C645C1" w14:paraId="507579BB" w14:textId="77777777" w:rsidTr="00183523">
        <w:trPr>
          <w:trHeight w:val="344"/>
        </w:trPr>
        <w:tc>
          <w:tcPr>
            <w:tcW w:w="953" w:type="pct"/>
            <w:tcBorders>
              <w:top w:val="outset" w:sz="6" w:space="0" w:color="auto"/>
              <w:left w:val="outset" w:sz="6" w:space="0" w:color="auto"/>
              <w:bottom w:val="outset" w:sz="6" w:space="0" w:color="auto"/>
              <w:right w:val="outset" w:sz="6" w:space="0" w:color="auto"/>
            </w:tcBorders>
            <w:vAlign w:val="center"/>
            <w:hideMark/>
          </w:tcPr>
          <w:p w14:paraId="5B7FC43E" w14:textId="3AC1528C" w:rsidR="00C3334B" w:rsidRPr="00C645C1" w:rsidRDefault="00C61F30" w:rsidP="00C61F30">
            <w:pPr>
              <w:pStyle w:val="Navaden5"/>
            </w:pPr>
            <w:r>
              <w:t>Vrsta testiranja</w:t>
            </w:r>
          </w:p>
        </w:tc>
        <w:tc>
          <w:tcPr>
            <w:tcW w:w="1546" w:type="pct"/>
            <w:tcBorders>
              <w:top w:val="outset" w:sz="6" w:space="0" w:color="auto"/>
              <w:left w:val="outset" w:sz="6" w:space="0" w:color="auto"/>
              <w:bottom w:val="outset" w:sz="6" w:space="0" w:color="auto"/>
              <w:right w:val="outset" w:sz="6" w:space="0" w:color="auto"/>
            </w:tcBorders>
            <w:vAlign w:val="center"/>
            <w:hideMark/>
          </w:tcPr>
          <w:p w14:paraId="4F986DB7" w14:textId="613693BB" w:rsidR="00C3334B" w:rsidRPr="00C645C1" w:rsidRDefault="00C61F30" w:rsidP="00C61F30">
            <w:pPr>
              <w:pStyle w:val="Navaden5"/>
            </w:pPr>
            <w:r>
              <w:t>Ključna vprašanja</w:t>
            </w:r>
          </w:p>
        </w:tc>
        <w:tc>
          <w:tcPr>
            <w:tcW w:w="2500" w:type="pct"/>
            <w:tcBorders>
              <w:top w:val="outset" w:sz="6" w:space="0" w:color="auto"/>
              <w:left w:val="outset" w:sz="6" w:space="0" w:color="auto"/>
              <w:bottom w:val="outset" w:sz="6" w:space="0" w:color="auto"/>
              <w:right w:val="outset" w:sz="6" w:space="0" w:color="auto"/>
            </w:tcBorders>
            <w:vAlign w:val="center"/>
            <w:hideMark/>
          </w:tcPr>
          <w:p w14:paraId="25B5F49A" w14:textId="7D3418B9" w:rsidR="00C3334B" w:rsidRPr="00C645C1" w:rsidRDefault="00C61F30" w:rsidP="00C61F30">
            <w:pPr>
              <w:pStyle w:val="Navaden5"/>
            </w:pPr>
            <w:r>
              <w:t>Pričakovano dokazilo</w:t>
            </w:r>
          </w:p>
        </w:tc>
      </w:tr>
      <w:tr w:rsidR="00C3334B" w:rsidRPr="00C645C1" w14:paraId="43EA2559" w14:textId="77777777" w:rsidTr="00183523">
        <w:trPr>
          <w:trHeight w:val="877"/>
        </w:trPr>
        <w:tc>
          <w:tcPr>
            <w:tcW w:w="953" w:type="pct"/>
            <w:tcBorders>
              <w:top w:val="outset" w:sz="6" w:space="0" w:color="auto"/>
              <w:left w:val="outset" w:sz="6" w:space="0" w:color="auto"/>
              <w:bottom w:val="outset" w:sz="6" w:space="0" w:color="auto"/>
              <w:right w:val="outset" w:sz="6" w:space="0" w:color="auto"/>
            </w:tcBorders>
            <w:vAlign w:val="center"/>
            <w:hideMark/>
          </w:tcPr>
          <w:p w14:paraId="45CBE734" w14:textId="19ECDD06" w:rsidR="00C3334B" w:rsidRPr="00C645C1" w:rsidRDefault="00C61F30" w:rsidP="00C61F30">
            <w:pPr>
              <w:pStyle w:val="Navaden5"/>
              <w:jc w:val="left"/>
            </w:pPr>
            <w:r>
              <w:t>Finančno oziroma produktno</w:t>
            </w:r>
          </w:p>
        </w:tc>
        <w:tc>
          <w:tcPr>
            <w:tcW w:w="1546" w:type="pct"/>
            <w:tcBorders>
              <w:top w:val="outset" w:sz="6" w:space="0" w:color="auto"/>
              <w:left w:val="outset" w:sz="6" w:space="0" w:color="auto"/>
              <w:bottom w:val="outset" w:sz="6" w:space="0" w:color="auto"/>
              <w:right w:val="outset" w:sz="6" w:space="0" w:color="auto"/>
            </w:tcBorders>
            <w:vAlign w:val="center"/>
            <w:hideMark/>
          </w:tcPr>
          <w:p w14:paraId="3A71A1CA" w14:textId="4811DC5C" w:rsidR="00C3334B" w:rsidRPr="00C645C1" w:rsidRDefault="00C61F30" w:rsidP="00C61F30">
            <w:pPr>
              <w:pStyle w:val="Navaden5"/>
              <w:jc w:val="left"/>
            </w:pPr>
            <w:r>
              <w:t>Donosnost, stroški, likvidnost, garancije in naložbene možnosti</w:t>
            </w:r>
          </w:p>
        </w:tc>
        <w:tc>
          <w:tcPr>
            <w:tcW w:w="2500" w:type="pct"/>
            <w:tcBorders>
              <w:top w:val="outset" w:sz="6" w:space="0" w:color="auto"/>
              <w:left w:val="outset" w:sz="6" w:space="0" w:color="auto"/>
              <w:bottom w:val="outset" w:sz="6" w:space="0" w:color="auto"/>
              <w:right w:val="outset" w:sz="6" w:space="0" w:color="auto"/>
            </w:tcBorders>
            <w:vAlign w:val="center"/>
            <w:hideMark/>
          </w:tcPr>
          <w:p w14:paraId="34588B70" w14:textId="23A7A692" w:rsidR="00C3334B" w:rsidRPr="00C645C1" w:rsidRDefault="00C61F30" w:rsidP="00C61F30">
            <w:pPr>
              <w:pStyle w:val="Navaden5"/>
              <w:jc w:val="left"/>
            </w:pPr>
            <w:r>
              <w:t>Scenariji, predpostavke, rezultati in utemeljene ugotovitve</w:t>
            </w:r>
          </w:p>
        </w:tc>
      </w:tr>
      <w:tr w:rsidR="00C3334B" w:rsidRPr="00C645C1" w14:paraId="3461E6BC" w14:textId="77777777" w:rsidTr="00183523">
        <w:trPr>
          <w:trHeight w:val="1162"/>
        </w:trPr>
        <w:tc>
          <w:tcPr>
            <w:tcW w:w="953" w:type="pct"/>
            <w:tcBorders>
              <w:top w:val="outset" w:sz="6" w:space="0" w:color="auto"/>
              <w:left w:val="outset" w:sz="6" w:space="0" w:color="auto"/>
              <w:bottom w:val="outset" w:sz="6" w:space="0" w:color="auto"/>
              <w:right w:val="outset" w:sz="6" w:space="0" w:color="auto"/>
            </w:tcBorders>
            <w:vAlign w:val="center"/>
            <w:hideMark/>
          </w:tcPr>
          <w:p w14:paraId="08A7A31F" w14:textId="27586D39" w:rsidR="00C3334B" w:rsidRPr="00C645C1" w:rsidRDefault="00C61F30" w:rsidP="00C61F30">
            <w:pPr>
              <w:pStyle w:val="Navaden5"/>
              <w:jc w:val="left"/>
            </w:pPr>
            <w:r>
              <w:t>Potrošniško</w:t>
            </w:r>
          </w:p>
        </w:tc>
        <w:tc>
          <w:tcPr>
            <w:tcW w:w="1546" w:type="pct"/>
            <w:tcBorders>
              <w:top w:val="outset" w:sz="6" w:space="0" w:color="auto"/>
              <w:left w:val="outset" w:sz="6" w:space="0" w:color="auto"/>
              <w:bottom w:val="outset" w:sz="6" w:space="0" w:color="auto"/>
              <w:right w:val="outset" w:sz="6" w:space="0" w:color="auto"/>
            </w:tcBorders>
            <w:vAlign w:val="center"/>
            <w:hideMark/>
          </w:tcPr>
          <w:p w14:paraId="2229A34C" w14:textId="70378C78" w:rsidR="00C3334B" w:rsidRPr="00C645C1" w:rsidRDefault="00C61F30" w:rsidP="00C61F30">
            <w:pPr>
              <w:pStyle w:val="Navaden5"/>
              <w:jc w:val="left"/>
            </w:pPr>
            <w:r>
              <w:t>Razumevanje, pričakovanja, ustreznost ciljnega trga in tveganje napačnih odločitev</w:t>
            </w:r>
          </w:p>
        </w:tc>
        <w:tc>
          <w:tcPr>
            <w:tcW w:w="2500" w:type="pct"/>
            <w:tcBorders>
              <w:top w:val="outset" w:sz="6" w:space="0" w:color="auto"/>
              <w:left w:val="outset" w:sz="6" w:space="0" w:color="auto"/>
              <w:bottom w:val="outset" w:sz="6" w:space="0" w:color="auto"/>
              <w:right w:val="outset" w:sz="6" w:space="0" w:color="auto"/>
            </w:tcBorders>
            <w:vAlign w:val="center"/>
            <w:hideMark/>
          </w:tcPr>
          <w:p w14:paraId="326A5594" w14:textId="087D8931" w:rsidR="00C3334B" w:rsidRPr="00C61F30" w:rsidRDefault="00C61F30" w:rsidP="00C61F30">
            <w:pPr>
              <w:pStyle w:val="Navaden3"/>
              <w:rPr>
                <w:sz w:val="24"/>
                <w:szCs w:val="24"/>
              </w:rPr>
            </w:pPr>
            <w:r>
              <w:t>Ankete, uporabniški preizkusi ali poskusno trženje na raznolikih skupinah; po potrebi ugotovitve zastopnikov in zaposlenih. Dokazilo opiše vzorec, metodo, ugotovitve in prilagoditve.</w:t>
            </w:r>
          </w:p>
        </w:tc>
      </w:tr>
    </w:tbl>
    <w:p w14:paraId="0E5BD2BC" w14:textId="77777777" w:rsidR="00C61F30" w:rsidRDefault="00C61F30">
      <w:pPr>
        <w:pStyle w:val="Navaden4"/>
        <w:spacing w:before="240"/>
        <w:rPr>
          <w:sz w:val="24"/>
          <w:szCs w:val="24"/>
        </w:rPr>
      </w:pPr>
      <w:r>
        <w:rPr>
          <w:b/>
          <w:bCs/>
        </w:rPr>
        <w:t>Profili:</w:t>
      </w:r>
      <w:r>
        <w:t xml:space="preserve"> Pri kompleksnejših produktih Agencija pričakuje reprezentativne in mejne profile za razlikovanje med primernimi, mejnimi in neprimernimi potrošniki.</w:t>
      </w:r>
    </w:p>
    <w:p w14:paraId="0AA3BC54" w14:textId="77777777" w:rsidR="00C61F30" w:rsidRDefault="00C61F30">
      <w:pPr>
        <w:pStyle w:val="Navaden4"/>
        <w:rPr>
          <w:sz w:val="24"/>
          <w:szCs w:val="24"/>
        </w:rPr>
      </w:pPr>
      <w:r>
        <w:rPr>
          <w:b/>
          <w:bCs/>
        </w:rPr>
        <w:t>Posledica:</w:t>
      </w:r>
      <w:r>
        <w:t xml:space="preserve"> Če testiranje pokaže neustreznost ali nerazumevanje ključnih značilnosti, mora razvijalec pred trženjem prilagoditi produkt, ciljni trg, distribucijska pravila, razkritja ali varovalke.</w:t>
      </w:r>
    </w:p>
    <w:p w14:paraId="2B30951A" w14:textId="77777777" w:rsidR="00C61F30" w:rsidRDefault="00C61F30" w:rsidP="00C61F30">
      <w:pPr>
        <w:pStyle w:val="Toka"/>
        <w:rPr>
          <w:kern w:val="2"/>
          <w14:ligatures w14:val="standardContextual"/>
        </w:rPr>
      </w:pPr>
      <w:r>
        <w:t>Distribucijo se prilagodi produktu in ciljnemu trgu</w:t>
      </w:r>
    </w:p>
    <w:p w14:paraId="45B7DDC0" w14:textId="77777777" w:rsidR="00C61F30" w:rsidRDefault="00C61F30">
      <w:pPr>
        <w:pStyle w:val="Navaden4"/>
        <w:rPr>
          <w:sz w:val="24"/>
          <w:szCs w:val="24"/>
        </w:rPr>
      </w:pPr>
      <w:r>
        <w:rPr>
          <w:b/>
          <w:bCs/>
        </w:rPr>
        <w:t>Izbira modela:</w:t>
      </w:r>
      <w:r>
        <w:t xml:space="preserve"> Strategija distribucije mora biti že ob zasnovi usklajena s kompleksnostjo produkta in ciljnim trgom. Razvijalec mora utemeljiti prodajo s svetovanjem, brez njega ali po kombiniranem modelu.</w:t>
      </w:r>
    </w:p>
    <w:p w14:paraId="0EA37C6C" w14:textId="26189FC5" w:rsidR="00ED3957" w:rsidRDefault="00ED3957">
      <w:pPr>
        <w:pStyle w:val="Navaden4"/>
        <w:rPr>
          <w:sz w:val="24"/>
          <w:szCs w:val="24"/>
        </w:rPr>
      </w:pPr>
      <w:r>
        <w:rPr>
          <w:b/>
          <w:bCs/>
        </w:rPr>
        <w:t>Izvajanje in dokazilo:</w:t>
      </w:r>
      <w:r>
        <w:t xml:space="preserve"> Prodajne poti, usposobljenost distributerjev, vprašalniki, razkritja, opozorila in kontrole morajo zagotavljati doseganje ciljnega trga. Razvijalec mora distributerjem pravočasno posredovati popolne in ažurne informacije ter preverjati njihovo uporabo.</w:t>
      </w:r>
      <w:r w:rsidR="003D2104">
        <w:t xml:space="preserve"> </w:t>
      </w:r>
      <w:r>
        <w:br w:type="page"/>
      </w:r>
      <w:r>
        <w:lastRenderedPageBreak/>
        <w:t>Kontrole morajo omogočati pravočasno zaznavanje prodaje zunaj ciljnega trga, odstopanj pri svetovanju ter pomanjkljive uporabe informacij o produktu.</w:t>
      </w:r>
    </w:p>
    <w:p w14:paraId="5AB130BB" w14:textId="77777777" w:rsidR="00C61F30" w:rsidRDefault="00C61F30" w:rsidP="00C61F30">
      <w:pPr>
        <w:pStyle w:val="Toka"/>
        <w:rPr>
          <w:kern w:val="2"/>
          <w14:ligatures w14:val="standardContextual"/>
        </w:rPr>
      </w:pPr>
      <w:r>
        <w:t>Rezultate in ustreznost produkta se redno pregleduje ter ob odstopanjih se ukrepa</w:t>
      </w:r>
    </w:p>
    <w:p w14:paraId="1213F628" w14:textId="43EF32E3" w:rsidR="007500B7" w:rsidRDefault="007500B7">
      <w:pPr>
        <w:pStyle w:val="Navaden4"/>
        <w:rPr>
          <w:sz w:val="24"/>
          <w:szCs w:val="24"/>
        </w:rPr>
      </w:pPr>
      <w:r>
        <w:rPr>
          <w:b/>
          <w:bCs/>
        </w:rPr>
        <w:t>Redni in izredni pregled:</w:t>
      </w:r>
      <w:r>
        <w:t xml:space="preserve"> Razvijalec mora periodično ter ob pomembni spremembi produkta, trga, predpisov, distribucije ali rezultatov za potrošnike preveriti nadaljnjo ustreznost produkta. Pregled </w:t>
      </w:r>
      <w:r w:rsidR="00B52E97">
        <w:t>mora zajemati</w:t>
      </w:r>
      <w:r>
        <w:t xml:space="preserve"> dejansko distribucijo, strukturo portfelja, naložbene izbire, odkupe, predčasne prekinitve, pritožbe in nepričakovane oziroma neugodne rezultate za potrošnike. V okviru pregleda </w:t>
      </w:r>
      <w:r w:rsidR="00B52E97">
        <w:t>mora</w:t>
      </w:r>
      <w:r>
        <w:t xml:space="preserve"> razvijalec </w:t>
      </w:r>
      <w:r w:rsidR="00B52E97">
        <w:t>presoditi</w:t>
      </w:r>
      <w:r>
        <w:t xml:space="preserve"> tudi, ali produkt ciljnemu trgu zagotavlja ustrezno vrednost glede na stroške, tveganja, koristi, zavarovalno kritje in druge značilnosti produkta ter ali sta ciljni trg in distribucija še ustrezna.</w:t>
      </w:r>
    </w:p>
    <w:p w14:paraId="639A6733" w14:textId="77777777" w:rsidR="00C61F30" w:rsidRDefault="00C61F30">
      <w:pPr>
        <w:pStyle w:val="Navaden4"/>
        <w:rPr>
          <w:sz w:val="24"/>
          <w:szCs w:val="24"/>
        </w:rPr>
      </w:pPr>
      <w:r>
        <w:rPr>
          <w:b/>
          <w:bCs/>
        </w:rPr>
        <w:t>Popravni ukrepi:</w:t>
      </w:r>
      <w:r>
        <w:t xml:space="preserve"> Če pregled pokaže pomembno odstopanje, neustrezne rezultate za potrošnike ali da produkt ciljnemu trgu ne zagotavlja ustrezne vrednosti, mora razvijalec brez nepotrebnega odlašanja sprejeti sorazmerne ukrepe, kot so prilagoditev stroškov, koristi ali zasnove produkta, sprememba distribucije ali ciljnega trga oziroma omejitev ali ustavitev trženja. Dokumentirati mora ukrep, odgovornost, rok in preverjanje učinkovitosti.</w:t>
      </w:r>
    </w:p>
    <w:p w14:paraId="0632B277" w14:textId="77777777" w:rsidR="00C61F30" w:rsidRDefault="00C61F30" w:rsidP="00C61F30">
      <w:pPr>
        <w:pStyle w:val="Toka"/>
        <w:rPr>
          <w:kern w:val="2"/>
          <w14:ligatures w14:val="standardContextual"/>
        </w:rPr>
      </w:pPr>
      <w:r>
        <w:t>Za vsako ključno odločitev se zagotovi dokazno sled</w:t>
      </w:r>
    </w:p>
    <w:p w14:paraId="3E05D49C" w14:textId="77777777" w:rsidR="00ED3957" w:rsidRDefault="00ED3957">
      <w:pPr>
        <w:pStyle w:val="Navaden4"/>
        <w:rPr>
          <w:sz w:val="24"/>
          <w:szCs w:val="24"/>
        </w:rPr>
      </w:pPr>
      <w:r>
        <w:rPr>
          <w:b/>
          <w:bCs/>
        </w:rPr>
        <w:t>Standard dokumentiranja:</w:t>
      </w:r>
      <w:r>
        <w:t xml:space="preserve"> Dokumentacija mora za pomembne odločitve navesti podatke, dejstva, tveganja, predpostavke, odločitev in utemeljitev, odgovorno osebo, datum, vpliv na POG ter spremljanje učinkov. Omogočati mora razumevanje, ponovitev in učinkovit nadzor.</w:t>
      </w:r>
    </w:p>
    <w:p w14:paraId="0F6AF02A" w14:textId="77777777" w:rsidR="00123769" w:rsidRPr="005968A8" w:rsidRDefault="00123769" w:rsidP="005968A8">
      <w:pPr>
        <w:pStyle w:val="Heading2"/>
      </w:pPr>
      <w:r w:rsidRPr="005968A8">
        <w:t>Sklepno nadzorniško pričakovanje</w:t>
      </w:r>
    </w:p>
    <w:p w14:paraId="36F5C3CA" w14:textId="77777777" w:rsidR="00C61F30" w:rsidRDefault="00C61F30">
      <w:pPr>
        <w:pStyle w:val="Navaden4"/>
        <w:rPr>
          <w:sz w:val="24"/>
          <w:szCs w:val="24"/>
        </w:rPr>
      </w:pPr>
      <w:r>
        <w:t>Agencija presoja predvsem, ali POG ureditve v praksi delujejo kot učinkovit sistem upravljanja produkta. Formalni opis brez dokazov ne zadošča. Posebno pozornost namenja povezanosti odločitev, uporabnosti ciljnega in negativnega ciljnega trga, kakovosti testiranja in pregledov produkta, skladnosti distribucije, dejanskim rezultatom, pravočasnosti ukrepov in dokazni sledi.</w:t>
      </w:r>
    </w:p>
    <w:p w14:paraId="19A6311F" w14:textId="77777777" w:rsidR="00C61F30" w:rsidRDefault="00C61F30">
      <w:pPr>
        <w:pStyle w:val="Navaden4"/>
        <w:rPr>
          <w:sz w:val="24"/>
          <w:szCs w:val="24"/>
        </w:rPr>
      </w:pPr>
    </w:p>
    <w:p w14:paraId="31500202" w14:textId="77777777" w:rsidR="00C61F30" w:rsidRDefault="00C61F30">
      <w:pPr>
        <w:pStyle w:val="Navaden4"/>
        <w:rPr>
          <w:sz w:val="24"/>
          <w:szCs w:val="24"/>
        </w:rPr>
      </w:pPr>
    </w:p>
    <w:p w14:paraId="5F6573A4" w14:textId="6804AEF3" w:rsidR="00C61F30" w:rsidRDefault="003D2104" w:rsidP="003D2104">
      <w:pPr>
        <w:pStyle w:val="Navaden5"/>
        <w:tabs>
          <w:tab w:val="center" w:pos="6804"/>
        </w:tabs>
        <w:spacing w:after="0"/>
        <w:ind w:firstLine="720"/>
      </w:pPr>
      <w:r>
        <w:tab/>
      </w:r>
      <w:r w:rsidR="00C61F30">
        <w:t>mag. Gorazd Čibej</w:t>
      </w:r>
    </w:p>
    <w:p w14:paraId="17E40251" w14:textId="46F13AC7" w:rsidR="00C61F30" w:rsidRDefault="003D2104" w:rsidP="003D2104">
      <w:pPr>
        <w:pStyle w:val="Navaden5"/>
        <w:tabs>
          <w:tab w:val="center" w:pos="6804"/>
        </w:tabs>
        <w:spacing w:after="0"/>
        <w:ind w:firstLine="720"/>
      </w:pPr>
      <w:r>
        <w:tab/>
      </w:r>
      <w:r w:rsidR="00C61F30">
        <w:t>direktor</w:t>
      </w:r>
    </w:p>
    <w:p w14:paraId="6F03AA31" w14:textId="77777777" w:rsidR="00C61F30" w:rsidRDefault="00C61F30">
      <w:pPr>
        <w:pStyle w:val="Navaden5"/>
      </w:pPr>
    </w:p>
    <w:p w14:paraId="1A28481C" w14:textId="77777777" w:rsidR="00C61F30" w:rsidRDefault="00C61F30">
      <w:pPr>
        <w:pStyle w:val="Navaden5"/>
      </w:pPr>
      <w:r>
        <w:t>Poslano:</w:t>
      </w:r>
    </w:p>
    <w:p w14:paraId="6DF7C472" w14:textId="77777777" w:rsidR="00C61F30" w:rsidRDefault="00C61F30" w:rsidP="00C94F26">
      <w:pPr>
        <w:pStyle w:val="ListParagraph"/>
        <w:numPr>
          <w:ilvl w:val="0"/>
          <w:numId w:val="3"/>
        </w:numPr>
        <w:rPr>
          <w:kern w:val="2"/>
          <w:szCs w:val="20"/>
          <w14:ligatures w14:val="standardContextual"/>
        </w:rPr>
      </w:pPr>
      <w:r>
        <w:t>za objavo na internetni strani Agencije</w:t>
      </w:r>
    </w:p>
    <w:p w14:paraId="6887C935" w14:textId="77777777" w:rsidR="00C61F30" w:rsidRDefault="00C61F30" w:rsidP="00C94F26">
      <w:pPr>
        <w:pStyle w:val="ListParagraph"/>
        <w:numPr>
          <w:ilvl w:val="0"/>
          <w:numId w:val="3"/>
        </w:numPr>
        <w:rPr>
          <w:kern w:val="2"/>
          <w:szCs w:val="20"/>
          <w14:ligatures w14:val="standardContextual"/>
        </w:rPr>
      </w:pPr>
      <w:r>
        <w:t>interni arhiv Agencije</w:t>
      </w:r>
    </w:p>
    <w:sectPr w:rsidR="00C61F30" w:rsidSect="00C576DB">
      <w:headerReference w:type="default" r:id="rId17"/>
      <w:footerReference w:type="default" r:id="rId18"/>
      <w:type w:val="continuous"/>
      <w:pgSz w:w="11907" w:h="16840"/>
      <w:pgMar w:top="1418" w:right="1134" w:bottom="1418" w:left="1134" w:header="1134" w:footer="3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3C0F" w14:textId="77777777" w:rsidR="00807AA0" w:rsidRDefault="00807AA0" w:rsidP="00531377">
      <w:r>
        <w:separator/>
      </w:r>
    </w:p>
  </w:endnote>
  <w:endnote w:type="continuationSeparator" w:id="0">
    <w:p w14:paraId="5C5F9B0C" w14:textId="77777777" w:rsidR="00807AA0" w:rsidRDefault="00807AA0" w:rsidP="0053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8741E" w14:textId="77777777" w:rsidR="00E22F8D" w:rsidRDefault="00E22F8D" w:rsidP="005313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4E7BD" w14:textId="77777777" w:rsidR="00E22F8D" w:rsidRDefault="00E22F8D" w:rsidP="00531377">
    <w:pPr>
      <w:pStyle w:val="Footer"/>
      <w:rPr>
        <w:noProof/>
      </w:rPr>
    </w:pPr>
    <w:r>
      <w:tab/>
    </w:r>
    <w:r>
      <w:tab/>
    </w:r>
    <w:r>
      <w:tab/>
    </w:r>
  </w:p>
  <w:p w14:paraId="22EB280F" w14:textId="77777777" w:rsidR="00E22F8D" w:rsidRDefault="00E22F8D" w:rsidP="00531377">
    <w:pPr>
      <w:rPr>
        <w:noProof/>
      </w:rPr>
    </w:pPr>
    <w:r>
      <w:rPr>
        <w:noProof/>
      </w:rPr>
      <w:drawing>
        <wp:inline distT="0" distB="0" distL="0" distR="0" wp14:anchorId="20F4CA93" wp14:editId="5D24D550">
          <wp:extent cx="2228850" cy="88900"/>
          <wp:effectExtent l="0" t="0" r="0" b="6350"/>
          <wp:docPr id="2" name="Slika 2">
            <a:extLst xmlns:a="http://schemas.openxmlformats.org/drawingml/2006/main">
              <a:ext uri="{FF2B5EF4-FFF2-40B4-BE49-F238E27FC236}">
                <a16:creationId xmlns:a16="http://schemas.microsoft.com/office/drawing/2014/main" id="{1525C201-0066-4BC2-8EEA-AA4452A9860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88900"/>
                  </a:xfrm>
                  <a:prstGeom prst="rect">
                    <a:avLst/>
                  </a:prstGeom>
                  <a:noFill/>
                  <a:ln>
                    <a:noFill/>
                  </a:ln>
                </pic:spPr>
              </pic:pic>
            </a:graphicData>
          </a:graphic>
        </wp:inline>
      </w:drawing>
    </w:r>
  </w:p>
  <w:p w14:paraId="326C9E98" w14:textId="77777777" w:rsidR="00E22F8D" w:rsidRDefault="00E22F8D" w:rsidP="005313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78D4" w14:textId="77777777" w:rsidR="00E22F8D" w:rsidRDefault="00E22F8D" w:rsidP="005313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C533D" w14:textId="77777777" w:rsidR="00E22F8D" w:rsidRDefault="00E22F8D" w:rsidP="00531377">
    <w:pPr>
      <w:pStyle w:val="Footer"/>
    </w:pPr>
    <w:r>
      <w:fldChar w:fldCharType="begin"/>
    </w:r>
    <w:r>
      <w:instrText xml:space="preserve">page  \* arabic  \* mergeformat </w:instrText>
    </w:r>
    <w:r>
      <w:fldChar w:fldCharType="separate"/>
    </w:r>
    <w:r>
      <w:rPr>
        <w:noProof/>
      </w:rPr>
      <w:t>3</w:t>
    </w:r>
    <w:r>
      <w:fldChar w:fldCharType="end"/>
    </w:r>
    <w:r>
      <w:t>/</w:t>
    </w:r>
    <w:fldSimple w:instr="numpages  \* arabic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EEFE" w14:textId="77777777" w:rsidR="00807AA0" w:rsidRDefault="00807AA0" w:rsidP="00531377">
      <w:r>
        <w:separator/>
      </w:r>
    </w:p>
  </w:footnote>
  <w:footnote w:type="continuationSeparator" w:id="0">
    <w:p w14:paraId="7962B83E" w14:textId="77777777" w:rsidR="00807AA0" w:rsidRDefault="00807AA0" w:rsidP="00531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50B1D" w14:textId="77777777" w:rsidR="00E22F8D" w:rsidRDefault="00E22F8D" w:rsidP="005313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164C" w14:textId="77777777" w:rsidR="00E22F8D" w:rsidRDefault="00E22F8D" w:rsidP="00531377">
    <w:pPr>
      <w:pStyle w:val="Header"/>
    </w:pPr>
    <w:r>
      <w:rPr>
        <w:noProof/>
      </w:rPr>
      <w:drawing>
        <wp:inline distT="0" distB="0" distL="0" distR="0" wp14:anchorId="4F050BD6" wp14:editId="4A38831A">
          <wp:extent cx="6064250" cy="469900"/>
          <wp:effectExtent l="0" t="0" r="0" b="6350"/>
          <wp:docPr id="1" name="Slika 1">
            <a:extLst xmlns:a="http://schemas.openxmlformats.org/drawingml/2006/main">
              <a:ext uri="{FF2B5EF4-FFF2-40B4-BE49-F238E27FC236}">
                <a16:creationId xmlns:a16="http://schemas.microsoft.com/office/drawing/2014/main" id="{A0DA7F27-769E-43B2-B719-1627F9D6EF8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64250" cy="469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EDE9" w14:textId="77777777" w:rsidR="00E22F8D" w:rsidRDefault="00E22F8D" w:rsidP="005313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E2E9" w14:textId="77777777" w:rsidR="00E22F8D" w:rsidRDefault="00E22F8D" w:rsidP="005313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7BB0"/>
    <w:multiLevelType w:val="multilevel"/>
    <w:tmpl w:val="A4DAE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22683"/>
    <w:multiLevelType w:val="hybridMultilevel"/>
    <w:tmpl w:val="1FB4BD30"/>
    <w:lvl w:ilvl="0" w:tplc="62E0AFAE">
      <w:start w:val="1"/>
      <w:numFmt w:val="decimal"/>
      <w:pStyle w:val="Toka"/>
      <w:lvlText w:val="%1."/>
      <w:lvlJc w:val="left"/>
      <w:pPr>
        <w:ind w:left="720" w:hanging="360"/>
      </w:pPr>
      <w:rPr>
        <w:rFonts w:ascii="Trebuchet MS" w:hAnsi="Trebuchet MS" w:hint="default"/>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3FE301A"/>
    <w:multiLevelType w:val="hybridMultilevel"/>
    <w:tmpl w:val="37A296C0"/>
    <w:lvl w:ilvl="0" w:tplc="261432EC">
      <w:start w:val="1"/>
      <w:numFmt w:val="bullet"/>
      <w:lvlText w:val="-"/>
      <w:lvlJc w:val="left"/>
      <w:pPr>
        <w:ind w:left="1080" w:hanging="360"/>
      </w:pPr>
      <w:rPr>
        <w:rFonts w:ascii="Trebuchet MS" w:hAnsi="Trebuchet M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0981052"/>
    <w:multiLevelType w:val="multilevel"/>
    <w:tmpl w:val="B96C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647058"/>
    <w:multiLevelType w:val="multilevel"/>
    <w:tmpl w:val="6CEAB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1C31C7"/>
    <w:multiLevelType w:val="multilevel"/>
    <w:tmpl w:val="D4CA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C7477"/>
    <w:multiLevelType w:val="multilevel"/>
    <w:tmpl w:val="A3928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3B64D4"/>
    <w:multiLevelType w:val="hybridMultilevel"/>
    <w:tmpl w:val="EE8065C4"/>
    <w:lvl w:ilvl="0" w:tplc="261432EC">
      <w:start w:val="1"/>
      <w:numFmt w:val="bullet"/>
      <w:lvlText w:val="-"/>
      <w:lvlJc w:val="left"/>
      <w:pPr>
        <w:ind w:left="720" w:hanging="360"/>
      </w:pPr>
      <w:rPr>
        <w:rFonts w:ascii="Trebuchet MS" w:hAnsi="Trebuchet M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57740149">
    <w:abstractNumId w:val="2"/>
  </w:num>
  <w:num w:numId="2" w16cid:durableId="857548458">
    <w:abstractNumId w:val="1"/>
  </w:num>
  <w:num w:numId="3" w16cid:durableId="1765153619">
    <w:abstractNumId w:val="7"/>
  </w:num>
  <w:num w:numId="4" w16cid:durableId="1391492878">
    <w:abstractNumId w:val="3"/>
  </w:num>
  <w:num w:numId="5" w16cid:durableId="1861120406">
    <w:abstractNumId w:val="4"/>
  </w:num>
  <w:num w:numId="6" w16cid:durableId="1105424865">
    <w:abstractNumId w:val="5"/>
  </w:num>
  <w:num w:numId="7" w16cid:durableId="258754140">
    <w:abstractNumId w:val="6"/>
  </w:num>
  <w:num w:numId="8" w16cid:durableId="143845159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38"/>
    <w:rsid w:val="000012C3"/>
    <w:rsid w:val="0000193D"/>
    <w:rsid w:val="00005EF5"/>
    <w:rsid w:val="000060C8"/>
    <w:rsid w:val="000160C4"/>
    <w:rsid w:val="000234E8"/>
    <w:rsid w:val="0002547D"/>
    <w:rsid w:val="000275F1"/>
    <w:rsid w:val="0003473B"/>
    <w:rsid w:val="00034E04"/>
    <w:rsid w:val="00037F38"/>
    <w:rsid w:val="00040155"/>
    <w:rsid w:val="00045B1F"/>
    <w:rsid w:val="00052DCF"/>
    <w:rsid w:val="00054C66"/>
    <w:rsid w:val="00056FE2"/>
    <w:rsid w:val="0005756E"/>
    <w:rsid w:val="00065997"/>
    <w:rsid w:val="00066B36"/>
    <w:rsid w:val="000722BC"/>
    <w:rsid w:val="0007396C"/>
    <w:rsid w:val="00075C1E"/>
    <w:rsid w:val="00082FC1"/>
    <w:rsid w:val="00086782"/>
    <w:rsid w:val="00087F27"/>
    <w:rsid w:val="00092801"/>
    <w:rsid w:val="000A2A3B"/>
    <w:rsid w:val="000A558B"/>
    <w:rsid w:val="000A7F92"/>
    <w:rsid w:val="000C1AEB"/>
    <w:rsid w:val="000D1C38"/>
    <w:rsid w:val="000D1F45"/>
    <w:rsid w:val="000E3182"/>
    <w:rsid w:val="000E65A3"/>
    <w:rsid w:val="000F775E"/>
    <w:rsid w:val="00100154"/>
    <w:rsid w:val="00103B64"/>
    <w:rsid w:val="001054B0"/>
    <w:rsid w:val="00113246"/>
    <w:rsid w:val="00115A83"/>
    <w:rsid w:val="001173CC"/>
    <w:rsid w:val="0011791E"/>
    <w:rsid w:val="00123769"/>
    <w:rsid w:val="00127E41"/>
    <w:rsid w:val="00133DCE"/>
    <w:rsid w:val="0013448B"/>
    <w:rsid w:val="0013695D"/>
    <w:rsid w:val="00142E40"/>
    <w:rsid w:val="001510B8"/>
    <w:rsid w:val="001564CE"/>
    <w:rsid w:val="00156D33"/>
    <w:rsid w:val="00156E5C"/>
    <w:rsid w:val="00163E1F"/>
    <w:rsid w:val="00170228"/>
    <w:rsid w:val="00171893"/>
    <w:rsid w:val="00172036"/>
    <w:rsid w:val="0017240E"/>
    <w:rsid w:val="00177FDD"/>
    <w:rsid w:val="001828B8"/>
    <w:rsid w:val="00183523"/>
    <w:rsid w:val="00190268"/>
    <w:rsid w:val="0019423A"/>
    <w:rsid w:val="00194C55"/>
    <w:rsid w:val="001A4971"/>
    <w:rsid w:val="001A6533"/>
    <w:rsid w:val="001B06AA"/>
    <w:rsid w:val="001B540C"/>
    <w:rsid w:val="001B7178"/>
    <w:rsid w:val="001B7D67"/>
    <w:rsid w:val="001C1F4E"/>
    <w:rsid w:val="001C24C0"/>
    <w:rsid w:val="001C3C3C"/>
    <w:rsid w:val="001C6D9E"/>
    <w:rsid w:val="001D4477"/>
    <w:rsid w:val="001D6CE1"/>
    <w:rsid w:val="001E4DE8"/>
    <w:rsid w:val="001E6C90"/>
    <w:rsid w:val="001F1B2F"/>
    <w:rsid w:val="001F3A4D"/>
    <w:rsid w:val="001F64CC"/>
    <w:rsid w:val="001F7780"/>
    <w:rsid w:val="00200FDE"/>
    <w:rsid w:val="002010BF"/>
    <w:rsid w:val="00211428"/>
    <w:rsid w:val="0021789B"/>
    <w:rsid w:val="002210A5"/>
    <w:rsid w:val="00235ABE"/>
    <w:rsid w:val="00241065"/>
    <w:rsid w:val="002410B1"/>
    <w:rsid w:val="00243044"/>
    <w:rsid w:val="00243819"/>
    <w:rsid w:val="002445AE"/>
    <w:rsid w:val="002468A7"/>
    <w:rsid w:val="00247132"/>
    <w:rsid w:val="002505DB"/>
    <w:rsid w:val="00251918"/>
    <w:rsid w:val="00252BA7"/>
    <w:rsid w:val="002546FA"/>
    <w:rsid w:val="00255D54"/>
    <w:rsid w:val="0025604F"/>
    <w:rsid w:val="00256954"/>
    <w:rsid w:val="002616F1"/>
    <w:rsid w:val="00266CB6"/>
    <w:rsid w:val="0028225E"/>
    <w:rsid w:val="00291412"/>
    <w:rsid w:val="0029185E"/>
    <w:rsid w:val="00291B2D"/>
    <w:rsid w:val="00294CB5"/>
    <w:rsid w:val="00296C79"/>
    <w:rsid w:val="00297BE4"/>
    <w:rsid w:val="002A1357"/>
    <w:rsid w:val="002A1960"/>
    <w:rsid w:val="002A4080"/>
    <w:rsid w:val="002A511B"/>
    <w:rsid w:val="002A61BB"/>
    <w:rsid w:val="002A791E"/>
    <w:rsid w:val="002B0D18"/>
    <w:rsid w:val="002C0EF7"/>
    <w:rsid w:val="002C5924"/>
    <w:rsid w:val="002D038E"/>
    <w:rsid w:val="002E09D9"/>
    <w:rsid w:val="002E2B2D"/>
    <w:rsid w:val="002E4A7F"/>
    <w:rsid w:val="002E6135"/>
    <w:rsid w:val="002F04AD"/>
    <w:rsid w:val="002F4326"/>
    <w:rsid w:val="002F5B5C"/>
    <w:rsid w:val="0030341D"/>
    <w:rsid w:val="003119FD"/>
    <w:rsid w:val="00312BB0"/>
    <w:rsid w:val="003147D4"/>
    <w:rsid w:val="0031653B"/>
    <w:rsid w:val="003214D3"/>
    <w:rsid w:val="003222F2"/>
    <w:rsid w:val="0032344B"/>
    <w:rsid w:val="003237D6"/>
    <w:rsid w:val="00326919"/>
    <w:rsid w:val="003301BA"/>
    <w:rsid w:val="003333DA"/>
    <w:rsid w:val="00340B96"/>
    <w:rsid w:val="003460B9"/>
    <w:rsid w:val="00346125"/>
    <w:rsid w:val="00352418"/>
    <w:rsid w:val="00355852"/>
    <w:rsid w:val="00357387"/>
    <w:rsid w:val="00360C16"/>
    <w:rsid w:val="00361429"/>
    <w:rsid w:val="00362654"/>
    <w:rsid w:val="00370319"/>
    <w:rsid w:val="00376336"/>
    <w:rsid w:val="003779BF"/>
    <w:rsid w:val="0038417A"/>
    <w:rsid w:val="003861A9"/>
    <w:rsid w:val="00394ACA"/>
    <w:rsid w:val="003950F6"/>
    <w:rsid w:val="003970C1"/>
    <w:rsid w:val="003A030D"/>
    <w:rsid w:val="003A2158"/>
    <w:rsid w:val="003A5D55"/>
    <w:rsid w:val="003B172C"/>
    <w:rsid w:val="003C08D3"/>
    <w:rsid w:val="003C4A14"/>
    <w:rsid w:val="003C67E1"/>
    <w:rsid w:val="003D2104"/>
    <w:rsid w:val="003D6388"/>
    <w:rsid w:val="003E5849"/>
    <w:rsid w:val="003F2575"/>
    <w:rsid w:val="00400A36"/>
    <w:rsid w:val="00404ABC"/>
    <w:rsid w:val="00410338"/>
    <w:rsid w:val="00417A18"/>
    <w:rsid w:val="00417F36"/>
    <w:rsid w:val="0042556C"/>
    <w:rsid w:val="004326F0"/>
    <w:rsid w:val="004333C0"/>
    <w:rsid w:val="004335EC"/>
    <w:rsid w:val="00433D42"/>
    <w:rsid w:val="00434267"/>
    <w:rsid w:val="00445018"/>
    <w:rsid w:val="004560BE"/>
    <w:rsid w:val="00457693"/>
    <w:rsid w:val="004645E7"/>
    <w:rsid w:val="00466582"/>
    <w:rsid w:val="00473FBC"/>
    <w:rsid w:val="00484058"/>
    <w:rsid w:val="004849EB"/>
    <w:rsid w:val="00486FC7"/>
    <w:rsid w:val="0049035E"/>
    <w:rsid w:val="00490B85"/>
    <w:rsid w:val="004A0C6A"/>
    <w:rsid w:val="004A2DD3"/>
    <w:rsid w:val="004B0A06"/>
    <w:rsid w:val="004B1189"/>
    <w:rsid w:val="004B27BF"/>
    <w:rsid w:val="004C0D7D"/>
    <w:rsid w:val="004C0DBE"/>
    <w:rsid w:val="004C723A"/>
    <w:rsid w:val="004D0D45"/>
    <w:rsid w:val="004D2339"/>
    <w:rsid w:val="004D39E7"/>
    <w:rsid w:val="004E1871"/>
    <w:rsid w:val="004E1E93"/>
    <w:rsid w:val="004E4835"/>
    <w:rsid w:val="004E5AEB"/>
    <w:rsid w:val="004F2C4E"/>
    <w:rsid w:val="004F2EE6"/>
    <w:rsid w:val="004F3776"/>
    <w:rsid w:val="00500A72"/>
    <w:rsid w:val="00501904"/>
    <w:rsid w:val="0050407B"/>
    <w:rsid w:val="00510173"/>
    <w:rsid w:val="00510BBE"/>
    <w:rsid w:val="005153ED"/>
    <w:rsid w:val="00522F02"/>
    <w:rsid w:val="0053052A"/>
    <w:rsid w:val="00531377"/>
    <w:rsid w:val="00531C4C"/>
    <w:rsid w:val="00536899"/>
    <w:rsid w:val="005378C3"/>
    <w:rsid w:val="005403B1"/>
    <w:rsid w:val="00540F28"/>
    <w:rsid w:val="005420AA"/>
    <w:rsid w:val="005538B9"/>
    <w:rsid w:val="005548FF"/>
    <w:rsid w:val="0056594C"/>
    <w:rsid w:val="00570B0F"/>
    <w:rsid w:val="005811C6"/>
    <w:rsid w:val="0058162D"/>
    <w:rsid w:val="00581CD7"/>
    <w:rsid w:val="005829B3"/>
    <w:rsid w:val="00582E79"/>
    <w:rsid w:val="00584A65"/>
    <w:rsid w:val="005876EF"/>
    <w:rsid w:val="0059123E"/>
    <w:rsid w:val="00594E2F"/>
    <w:rsid w:val="005968A8"/>
    <w:rsid w:val="005970C2"/>
    <w:rsid w:val="005A344D"/>
    <w:rsid w:val="005A3B54"/>
    <w:rsid w:val="005A58F8"/>
    <w:rsid w:val="005A68C7"/>
    <w:rsid w:val="005A6FBE"/>
    <w:rsid w:val="005B2E53"/>
    <w:rsid w:val="005B45DD"/>
    <w:rsid w:val="005C14D2"/>
    <w:rsid w:val="005C3FBF"/>
    <w:rsid w:val="005C5F46"/>
    <w:rsid w:val="005E4624"/>
    <w:rsid w:val="005E4E0B"/>
    <w:rsid w:val="005E5503"/>
    <w:rsid w:val="005F0204"/>
    <w:rsid w:val="005F0734"/>
    <w:rsid w:val="005F203F"/>
    <w:rsid w:val="005F30E6"/>
    <w:rsid w:val="005F3EE5"/>
    <w:rsid w:val="005F5DE9"/>
    <w:rsid w:val="005F6191"/>
    <w:rsid w:val="005F7608"/>
    <w:rsid w:val="00601163"/>
    <w:rsid w:val="00613D9A"/>
    <w:rsid w:val="00615885"/>
    <w:rsid w:val="00624FAA"/>
    <w:rsid w:val="00646B43"/>
    <w:rsid w:val="0064720B"/>
    <w:rsid w:val="00651D11"/>
    <w:rsid w:val="00651D71"/>
    <w:rsid w:val="00655D5C"/>
    <w:rsid w:val="006613D1"/>
    <w:rsid w:val="006653D5"/>
    <w:rsid w:val="006667BC"/>
    <w:rsid w:val="006673FC"/>
    <w:rsid w:val="0067131C"/>
    <w:rsid w:val="006733AD"/>
    <w:rsid w:val="006739A2"/>
    <w:rsid w:val="006804FF"/>
    <w:rsid w:val="00681BC3"/>
    <w:rsid w:val="0068224E"/>
    <w:rsid w:val="0068246D"/>
    <w:rsid w:val="00690B0A"/>
    <w:rsid w:val="0069155F"/>
    <w:rsid w:val="006930DD"/>
    <w:rsid w:val="006946FD"/>
    <w:rsid w:val="0069552E"/>
    <w:rsid w:val="00696AA0"/>
    <w:rsid w:val="00696EE2"/>
    <w:rsid w:val="006A773B"/>
    <w:rsid w:val="006B432D"/>
    <w:rsid w:val="006B5CBB"/>
    <w:rsid w:val="006B7AE6"/>
    <w:rsid w:val="006C7162"/>
    <w:rsid w:val="006D0B6A"/>
    <w:rsid w:val="006D33F8"/>
    <w:rsid w:val="006D54D4"/>
    <w:rsid w:val="006E1E10"/>
    <w:rsid w:val="006E5B66"/>
    <w:rsid w:val="006F1B94"/>
    <w:rsid w:val="006F2354"/>
    <w:rsid w:val="006F429B"/>
    <w:rsid w:val="00702AC6"/>
    <w:rsid w:val="0070379A"/>
    <w:rsid w:val="00706E04"/>
    <w:rsid w:val="00707CA1"/>
    <w:rsid w:val="0071505A"/>
    <w:rsid w:val="00717449"/>
    <w:rsid w:val="0072692E"/>
    <w:rsid w:val="0072731B"/>
    <w:rsid w:val="00733361"/>
    <w:rsid w:val="00743225"/>
    <w:rsid w:val="00744BF3"/>
    <w:rsid w:val="007500B7"/>
    <w:rsid w:val="00755CF3"/>
    <w:rsid w:val="00757997"/>
    <w:rsid w:val="00763618"/>
    <w:rsid w:val="007646D4"/>
    <w:rsid w:val="0077320D"/>
    <w:rsid w:val="007741F5"/>
    <w:rsid w:val="00776719"/>
    <w:rsid w:val="00780A76"/>
    <w:rsid w:val="007825CD"/>
    <w:rsid w:val="00783E84"/>
    <w:rsid w:val="0078668E"/>
    <w:rsid w:val="00791E09"/>
    <w:rsid w:val="00794FB7"/>
    <w:rsid w:val="007A44CA"/>
    <w:rsid w:val="007B3F38"/>
    <w:rsid w:val="007C3360"/>
    <w:rsid w:val="007D4E93"/>
    <w:rsid w:val="007D5B27"/>
    <w:rsid w:val="007D5EBA"/>
    <w:rsid w:val="007E1A1D"/>
    <w:rsid w:val="007E22DF"/>
    <w:rsid w:val="007E3DED"/>
    <w:rsid w:val="007E5C0C"/>
    <w:rsid w:val="007F00CF"/>
    <w:rsid w:val="007F02D1"/>
    <w:rsid w:val="007F13BB"/>
    <w:rsid w:val="007F1E31"/>
    <w:rsid w:val="007F66EB"/>
    <w:rsid w:val="007F7CD8"/>
    <w:rsid w:val="00807AA0"/>
    <w:rsid w:val="0081689F"/>
    <w:rsid w:val="00821BB5"/>
    <w:rsid w:val="00825EF6"/>
    <w:rsid w:val="0083233B"/>
    <w:rsid w:val="0083340B"/>
    <w:rsid w:val="00840C79"/>
    <w:rsid w:val="008441C3"/>
    <w:rsid w:val="00847775"/>
    <w:rsid w:val="008521B3"/>
    <w:rsid w:val="0085232E"/>
    <w:rsid w:val="008526AF"/>
    <w:rsid w:val="00853DB3"/>
    <w:rsid w:val="0085563D"/>
    <w:rsid w:val="0086494A"/>
    <w:rsid w:val="008731A8"/>
    <w:rsid w:val="008740E5"/>
    <w:rsid w:val="00885BC2"/>
    <w:rsid w:val="008963DD"/>
    <w:rsid w:val="00896E01"/>
    <w:rsid w:val="00897338"/>
    <w:rsid w:val="008A005E"/>
    <w:rsid w:val="008A04EC"/>
    <w:rsid w:val="008A6B78"/>
    <w:rsid w:val="008B100F"/>
    <w:rsid w:val="008B286B"/>
    <w:rsid w:val="008B4345"/>
    <w:rsid w:val="008C03FC"/>
    <w:rsid w:val="008C0A9C"/>
    <w:rsid w:val="008C3F8C"/>
    <w:rsid w:val="008C4F49"/>
    <w:rsid w:val="008D3DBC"/>
    <w:rsid w:val="008D5867"/>
    <w:rsid w:val="008E4A3F"/>
    <w:rsid w:val="008F2C55"/>
    <w:rsid w:val="008F66B7"/>
    <w:rsid w:val="008F6F97"/>
    <w:rsid w:val="008F715C"/>
    <w:rsid w:val="009007C6"/>
    <w:rsid w:val="0090181E"/>
    <w:rsid w:val="00902C1E"/>
    <w:rsid w:val="00903B3A"/>
    <w:rsid w:val="009062B8"/>
    <w:rsid w:val="00921538"/>
    <w:rsid w:val="0092667E"/>
    <w:rsid w:val="00926F2F"/>
    <w:rsid w:val="0093217C"/>
    <w:rsid w:val="00932830"/>
    <w:rsid w:val="009341C0"/>
    <w:rsid w:val="00940346"/>
    <w:rsid w:val="009446FE"/>
    <w:rsid w:val="00955160"/>
    <w:rsid w:val="009555C8"/>
    <w:rsid w:val="00961783"/>
    <w:rsid w:val="00964D48"/>
    <w:rsid w:val="00966B4E"/>
    <w:rsid w:val="009673C1"/>
    <w:rsid w:val="00971A26"/>
    <w:rsid w:val="0097640C"/>
    <w:rsid w:val="0098018F"/>
    <w:rsid w:val="009820B8"/>
    <w:rsid w:val="0098224E"/>
    <w:rsid w:val="00982DEF"/>
    <w:rsid w:val="0098319F"/>
    <w:rsid w:val="00985A36"/>
    <w:rsid w:val="00985BD3"/>
    <w:rsid w:val="00990352"/>
    <w:rsid w:val="0099531B"/>
    <w:rsid w:val="00995326"/>
    <w:rsid w:val="00995AF2"/>
    <w:rsid w:val="00995FC9"/>
    <w:rsid w:val="009A2F69"/>
    <w:rsid w:val="009B6896"/>
    <w:rsid w:val="009C038D"/>
    <w:rsid w:val="009C2FD1"/>
    <w:rsid w:val="009C5FBB"/>
    <w:rsid w:val="009D3C94"/>
    <w:rsid w:val="009D6BFC"/>
    <w:rsid w:val="009E4FFA"/>
    <w:rsid w:val="009F0344"/>
    <w:rsid w:val="009F647F"/>
    <w:rsid w:val="00A03CBC"/>
    <w:rsid w:val="00A06D17"/>
    <w:rsid w:val="00A10204"/>
    <w:rsid w:val="00A14506"/>
    <w:rsid w:val="00A160C6"/>
    <w:rsid w:val="00A22B1C"/>
    <w:rsid w:val="00A22C44"/>
    <w:rsid w:val="00A32B6C"/>
    <w:rsid w:val="00A33E52"/>
    <w:rsid w:val="00A35A70"/>
    <w:rsid w:val="00A406E9"/>
    <w:rsid w:val="00A43ABA"/>
    <w:rsid w:val="00A44566"/>
    <w:rsid w:val="00A57692"/>
    <w:rsid w:val="00A577E7"/>
    <w:rsid w:val="00A57CC3"/>
    <w:rsid w:val="00A60F73"/>
    <w:rsid w:val="00A62293"/>
    <w:rsid w:val="00A625A3"/>
    <w:rsid w:val="00A62A15"/>
    <w:rsid w:val="00A638B3"/>
    <w:rsid w:val="00A667C1"/>
    <w:rsid w:val="00A7270C"/>
    <w:rsid w:val="00A82F3C"/>
    <w:rsid w:val="00A846DD"/>
    <w:rsid w:val="00A86E4E"/>
    <w:rsid w:val="00A95E9C"/>
    <w:rsid w:val="00A95FDA"/>
    <w:rsid w:val="00AA09BB"/>
    <w:rsid w:val="00AB61BE"/>
    <w:rsid w:val="00AB77EC"/>
    <w:rsid w:val="00AC0BD3"/>
    <w:rsid w:val="00AD065C"/>
    <w:rsid w:val="00AD1FEF"/>
    <w:rsid w:val="00AE2D68"/>
    <w:rsid w:val="00AE2EC9"/>
    <w:rsid w:val="00AE4DCC"/>
    <w:rsid w:val="00AE6953"/>
    <w:rsid w:val="00AF0C48"/>
    <w:rsid w:val="00AF2921"/>
    <w:rsid w:val="00AF5187"/>
    <w:rsid w:val="00B01C48"/>
    <w:rsid w:val="00B035F3"/>
    <w:rsid w:val="00B13F69"/>
    <w:rsid w:val="00B16FD5"/>
    <w:rsid w:val="00B252FD"/>
    <w:rsid w:val="00B2681C"/>
    <w:rsid w:val="00B46265"/>
    <w:rsid w:val="00B471BD"/>
    <w:rsid w:val="00B50F4E"/>
    <w:rsid w:val="00B52E97"/>
    <w:rsid w:val="00B60247"/>
    <w:rsid w:val="00B60451"/>
    <w:rsid w:val="00B61F03"/>
    <w:rsid w:val="00B70882"/>
    <w:rsid w:val="00B70F4E"/>
    <w:rsid w:val="00B72811"/>
    <w:rsid w:val="00B72CA0"/>
    <w:rsid w:val="00B9008F"/>
    <w:rsid w:val="00B94457"/>
    <w:rsid w:val="00BB022D"/>
    <w:rsid w:val="00BB08E0"/>
    <w:rsid w:val="00BB0F98"/>
    <w:rsid w:val="00BB2A69"/>
    <w:rsid w:val="00BB3B41"/>
    <w:rsid w:val="00BB428B"/>
    <w:rsid w:val="00BB4995"/>
    <w:rsid w:val="00BC0082"/>
    <w:rsid w:val="00BC13EE"/>
    <w:rsid w:val="00BC30DB"/>
    <w:rsid w:val="00BC3DD4"/>
    <w:rsid w:val="00BC6652"/>
    <w:rsid w:val="00BC75BA"/>
    <w:rsid w:val="00BD15CB"/>
    <w:rsid w:val="00BD3D15"/>
    <w:rsid w:val="00BD79A6"/>
    <w:rsid w:val="00BE0D6A"/>
    <w:rsid w:val="00BE2B3F"/>
    <w:rsid w:val="00BE543F"/>
    <w:rsid w:val="00BF01CA"/>
    <w:rsid w:val="00BF4A50"/>
    <w:rsid w:val="00BF4D44"/>
    <w:rsid w:val="00C106CF"/>
    <w:rsid w:val="00C10C91"/>
    <w:rsid w:val="00C10D06"/>
    <w:rsid w:val="00C136F6"/>
    <w:rsid w:val="00C171B4"/>
    <w:rsid w:val="00C20879"/>
    <w:rsid w:val="00C22933"/>
    <w:rsid w:val="00C23FEB"/>
    <w:rsid w:val="00C254CC"/>
    <w:rsid w:val="00C26028"/>
    <w:rsid w:val="00C3334B"/>
    <w:rsid w:val="00C36D69"/>
    <w:rsid w:val="00C37E22"/>
    <w:rsid w:val="00C410D4"/>
    <w:rsid w:val="00C437C1"/>
    <w:rsid w:val="00C512E6"/>
    <w:rsid w:val="00C576DB"/>
    <w:rsid w:val="00C600CA"/>
    <w:rsid w:val="00C61F30"/>
    <w:rsid w:val="00C62BF3"/>
    <w:rsid w:val="00C645C1"/>
    <w:rsid w:val="00C651BE"/>
    <w:rsid w:val="00C75008"/>
    <w:rsid w:val="00C770B5"/>
    <w:rsid w:val="00C77F35"/>
    <w:rsid w:val="00C83625"/>
    <w:rsid w:val="00C877E4"/>
    <w:rsid w:val="00C92D53"/>
    <w:rsid w:val="00C93402"/>
    <w:rsid w:val="00C94F26"/>
    <w:rsid w:val="00CA01C3"/>
    <w:rsid w:val="00CA63DB"/>
    <w:rsid w:val="00CB133E"/>
    <w:rsid w:val="00CB7126"/>
    <w:rsid w:val="00CC1984"/>
    <w:rsid w:val="00CC1E97"/>
    <w:rsid w:val="00CC31DC"/>
    <w:rsid w:val="00CC48B2"/>
    <w:rsid w:val="00CC48DF"/>
    <w:rsid w:val="00CE1D72"/>
    <w:rsid w:val="00CE2668"/>
    <w:rsid w:val="00CE3634"/>
    <w:rsid w:val="00CE62E6"/>
    <w:rsid w:val="00CE779D"/>
    <w:rsid w:val="00CE796F"/>
    <w:rsid w:val="00CF3485"/>
    <w:rsid w:val="00CF3BA7"/>
    <w:rsid w:val="00D01AC3"/>
    <w:rsid w:val="00D12FE6"/>
    <w:rsid w:val="00D152F0"/>
    <w:rsid w:val="00D16576"/>
    <w:rsid w:val="00D16C00"/>
    <w:rsid w:val="00D226CC"/>
    <w:rsid w:val="00D2270B"/>
    <w:rsid w:val="00D27D22"/>
    <w:rsid w:val="00D30950"/>
    <w:rsid w:val="00D364DC"/>
    <w:rsid w:val="00D40958"/>
    <w:rsid w:val="00D42644"/>
    <w:rsid w:val="00D43CB8"/>
    <w:rsid w:val="00D45DE9"/>
    <w:rsid w:val="00D46889"/>
    <w:rsid w:val="00D51000"/>
    <w:rsid w:val="00D53C66"/>
    <w:rsid w:val="00D56DC2"/>
    <w:rsid w:val="00D603DD"/>
    <w:rsid w:val="00D60FE9"/>
    <w:rsid w:val="00D61FA2"/>
    <w:rsid w:val="00D666DF"/>
    <w:rsid w:val="00D7156B"/>
    <w:rsid w:val="00D74C5D"/>
    <w:rsid w:val="00D7608C"/>
    <w:rsid w:val="00D766DB"/>
    <w:rsid w:val="00D91731"/>
    <w:rsid w:val="00D92F9D"/>
    <w:rsid w:val="00DA2FFA"/>
    <w:rsid w:val="00DB0615"/>
    <w:rsid w:val="00DB2E45"/>
    <w:rsid w:val="00DB5E29"/>
    <w:rsid w:val="00DB660A"/>
    <w:rsid w:val="00DD1CF3"/>
    <w:rsid w:val="00DD3013"/>
    <w:rsid w:val="00DD61E6"/>
    <w:rsid w:val="00DD6F09"/>
    <w:rsid w:val="00DD7A6A"/>
    <w:rsid w:val="00DE0AB5"/>
    <w:rsid w:val="00DE5F8F"/>
    <w:rsid w:val="00DE761D"/>
    <w:rsid w:val="00DF02D3"/>
    <w:rsid w:val="00DF0462"/>
    <w:rsid w:val="00DF1DA7"/>
    <w:rsid w:val="00DF425A"/>
    <w:rsid w:val="00E0102C"/>
    <w:rsid w:val="00E05687"/>
    <w:rsid w:val="00E074B4"/>
    <w:rsid w:val="00E07889"/>
    <w:rsid w:val="00E21A6F"/>
    <w:rsid w:val="00E2263A"/>
    <w:rsid w:val="00E22CDC"/>
    <w:rsid w:val="00E22F6D"/>
    <w:rsid w:val="00E22F8D"/>
    <w:rsid w:val="00E242AB"/>
    <w:rsid w:val="00E2672C"/>
    <w:rsid w:val="00E31CA7"/>
    <w:rsid w:val="00E32C1D"/>
    <w:rsid w:val="00E342C4"/>
    <w:rsid w:val="00E45BED"/>
    <w:rsid w:val="00E52AFE"/>
    <w:rsid w:val="00E52D4F"/>
    <w:rsid w:val="00E57BD1"/>
    <w:rsid w:val="00E62317"/>
    <w:rsid w:val="00E65D3B"/>
    <w:rsid w:val="00E74B38"/>
    <w:rsid w:val="00E77215"/>
    <w:rsid w:val="00E8046A"/>
    <w:rsid w:val="00E8194C"/>
    <w:rsid w:val="00E91216"/>
    <w:rsid w:val="00E917C7"/>
    <w:rsid w:val="00E9196C"/>
    <w:rsid w:val="00E93EF6"/>
    <w:rsid w:val="00E971F4"/>
    <w:rsid w:val="00EA0472"/>
    <w:rsid w:val="00EA094D"/>
    <w:rsid w:val="00EA21EF"/>
    <w:rsid w:val="00EA6360"/>
    <w:rsid w:val="00EA7CF6"/>
    <w:rsid w:val="00EB3365"/>
    <w:rsid w:val="00EC223C"/>
    <w:rsid w:val="00EC6743"/>
    <w:rsid w:val="00ED3957"/>
    <w:rsid w:val="00EF0974"/>
    <w:rsid w:val="00EF2F32"/>
    <w:rsid w:val="00EF4801"/>
    <w:rsid w:val="00F02C50"/>
    <w:rsid w:val="00F048EF"/>
    <w:rsid w:val="00F05CD7"/>
    <w:rsid w:val="00F0628C"/>
    <w:rsid w:val="00F11286"/>
    <w:rsid w:val="00F135F8"/>
    <w:rsid w:val="00F15CD9"/>
    <w:rsid w:val="00F15D09"/>
    <w:rsid w:val="00F20B76"/>
    <w:rsid w:val="00F24CD2"/>
    <w:rsid w:val="00F31214"/>
    <w:rsid w:val="00F34E33"/>
    <w:rsid w:val="00F415ED"/>
    <w:rsid w:val="00F421A1"/>
    <w:rsid w:val="00F42A1D"/>
    <w:rsid w:val="00F4367B"/>
    <w:rsid w:val="00F449F9"/>
    <w:rsid w:val="00F45B1B"/>
    <w:rsid w:val="00F461E7"/>
    <w:rsid w:val="00F50EDF"/>
    <w:rsid w:val="00F53D29"/>
    <w:rsid w:val="00F60E25"/>
    <w:rsid w:val="00F62761"/>
    <w:rsid w:val="00F657DE"/>
    <w:rsid w:val="00F673A9"/>
    <w:rsid w:val="00F67623"/>
    <w:rsid w:val="00F679F8"/>
    <w:rsid w:val="00F71792"/>
    <w:rsid w:val="00F81A6E"/>
    <w:rsid w:val="00F83286"/>
    <w:rsid w:val="00F8674E"/>
    <w:rsid w:val="00F87985"/>
    <w:rsid w:val="00FA0127"/>
    <w:rsid w:val="00FA0864"/>
    <w:rsid w:val="00FA2778"/>
    <w:rsid w:val="00FA795A"/>
    <w:rsid w:val="00FB57AA"/>
    <w:rsid w:val="00FB5CD8"/>
    <w:rsid w:val="00FC2CFF"/>
    <w:rsid w:val="00FC3825"/>
    <w:rsid w:val="00FC6971"/>
    <w:rsid w:val="00FD0E99"/>
    <w:rsid w:val="00FD2164"/>
    <w:rsid w:val="00FD67BA"/>
    <w:rsid w:val="00FD6B67"/>
    <w:rsid w:val="00FD71E2"/>
    <w:rsid w:val="00FE2DC6"/>
    <w:rsid w:val="00FE4089"/>
    <w:rsid w:val="00FE5B83"/>
    <w:rsid w:val="00FE77CB"/>
    <w:rsid w:val="00FF0671"/>
    <w:rsid w:val="00FF10E7"/>
    <w:rsid w:val="00FF3093"/>
    <w:rsid w:val="05F332C9"/>
    <w:rsid w:val="12F476EF"/>
    <w:rsid w:val="18C0A6DD"/>
    <w:rsid w:val="23FBCAD2"/>
    <w:rsid w:val="28E12C71"/>
    <w:rsid w:val="39BD3C60"/>
    <w:rsid w:val="3B2CBAA3"/>
    <w:rsid w:val="439D3C47"/>
    <w:rsid w:val="53F894B6"/>
    <w:rsid w:val="719BD988"/>
    <w:rsid w:val="7A3623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F5FF0"/>
  <w15:chartTrackingRefBased/>
  <w15:docId w15:val="{148CB2CB-87B1-4C39-8100-C3B2575B0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377"/>
    <w:pPr>
      <w:spacing w:after="200" w:line="276" w:lineRule="atLeast"/>
      <w:jc w:val="both"/>
    </w:pPr>
    <w:rPr>
      <w:rFonts w:ascii="Trebuchet MS" w:hAnsi="Trebuchet MS" w:cs="Trebuchet MS"/>
    </w:rPr>
  </w:style>
  <w:style w:type="paragraph" w:styleId="Heading1">
    <w:name w:val="heading 1"/>
    <w:basedOn w:val="Normal"/>
    <w:next w:val="Normal"/>
    <w:link w:val="Heading1Char"/>
    <w:uiPriority w:val="9"/>
    <w:qFormat/>
    <w:rsid w:val="00531377"/>
    <w:pPr>
      <w:outlineLvl w:val="0"/>
    </w:pPr>
    <w:rPr>
      <w:sz w:val="28"/>
      <w:szCs w:val="28"/>
    </w:rPr>
  </w:style>
  <w:style w:type="paragraph" w:styleId="Heading2">
    <w:name w:val="heading 2"/>
    <w:basedOn w:val="Normal"/>
    <w:next w:val="Normal"/>
    <w:link w:val="Heading2Char"/>
    <w:uiPriority w:val="9"/>
    <w:qFormat/>
    <w:rsid w:val="00531377"/>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9072"/>
      </w:tabs>
      <w:spacing w:after="0" w:line="240" w:lineRule="auto"/>
    </w:pPr>
  </w:style>
  <w:style w:type="paragraph" w:styleId="Header">
    <w:name w:val="header"/>
    <w:basedOn w:val="Normal"/>
    <w:pPr>
      <w:tabs>
        <w:tab w:val="center" w:pos="4536"/>
        <w:tab w:val="right" w:pos="9072"/>
      </w:tabs>
      <w:spacing w:after="0" w:line="240" w:lineRule="auto"/>
    </w:pPr>
  </w:style>
  <w:style w:type="paragraph" w:customStyle="1" w:styleId="Besedilooblaka1">
    <w:name w:val="Besedilo oblačka1"/>
    <w:basedOn w:val="Normal"/>
    <w:pPr>
      <w:spacing w:after="0" w:line="240" w:lineRule="auto"/>
    </w:pPr>
    <w:rPr>
      <w:rFonts w:ascii="Tahoma" w:hAnsi="Tahoma" w:cs="Tahoma"/>
      <w:sz w:val="16"/>
    </w:rPr>
  </w:style>
  <w:style w:type="paragraph" w:customStyle="1" w:styleId="Brezrazmikov1">
    <w:name w:val="Brez razmikov1"/>
    <w:qFormat/>
    <w:rPr>
      <w:rFonts w:ascii="Trebuchet MS" w:hAnsi="Trebuchet MS" w:cs="Trebuchet MS"/>
    </w:rPr>
  </w:style>
  <w:style w:type="paragraph" w:styleId="Title">
    <w:name w:val="Title"/>
    <w:basedOn w:val="Normal"/>
    <w:next w:val="Normal"/>
    <w:qFormat/>
    <w:pPr>
      <w:spacing w:before="240" w:after="60"/>
      <w:jc w:val="center"/>
    </w:pPr>
    <w:rPr>
      <w:b/>
      <w:sz w:val="32"/>
    </w:rPr>
  </w:style>
  <w:style w:type="paragraph" w:styleId="Subtitle">
    <w:name w:val="Subtitle"/>
    <w:basedOn w:val="Normal"/>
    <w:next w:val="Normal"/>
    <w:qFormat/>
    <w:pPr>
      <w:spacing w:after="60"/>
      <w:jc w:val="center"/>
    </w:pPr>
    <w:rPr>
      <w:sz w:val="24"/>
    </w:rPr>
  </w:style>
  <w:style w:type="paragraph" w:customStyle="1" w:styleId="Citat1">
    <w:name w:val="Citat1"/>
    <w:basedOn w:val="Normal"/>
    <w:next w:val="Normal"/>
    <w:rPr>
      <w:i/>
      <w:color w:val="000000"/>
    </w:rPr>
  </w:style>
  <w:style w:type="paragraph" w:customStyle="1" w:styleId="Intenzivencitat1">
    <w:name w:val="Intenziven citat1"/>
    <w:basedOn w:val="Normal"/>
    <w:next w:val="Normal"/>
    <w:pPr>
      <w:pBdr>
        <w:bottom w:val="single" w:sz="6" w:space="4" w:color="C0C0C0"/>
      </w:pBdr>
      <w:spacing w:before="200" w:after="280"/>
      <w:ind w:left="936" w:right="936"/>
    </w:pPr>
    <w:rPr>
      <w:b/>
      <w:i/>
      <w:color w:val="FFFF00"/>
    </w:rPr>
  </w:style>
  <w:style w:type="paragraph" w:customStyle="1" w:styleId="Odstavekseznama1">
    <w:name w:val="Odstavek seznama1"/>
    <w:basedOn w:val="Normal"/>
    <w:pPr>
      <w:ind w:left="708"/>
    </w:pPr>
  </w:style>
  <w:style w:type="paragraph" w:styleId="BodyText">
    <w:name w:val="Body Text"/>
    <w:basedOn w:val="Normal"/>
    <w:pPr>
      <w:spacing w:after="0" w:line="240" w:lineRule="auto"/>
    </w:pPr>
    <w:rPr>
      <w:rFonts w:ascii="Arial" w:hAnsi="Arial" w:cs="Arial"/>
      <w:sz w:val="22"/>
    </w:rPr>
  </w:style>
  <w:style w:type="paragraph" w:customStyle="1" w:styleId="HTML-oblikovano1">
    <w:name w:val="HTML-oblikovano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12"/>
      <w:lang w:val="en-US"/>
    </w:rPr>
  </w:style>
  <w:style w:type="paragraph" w:styleId="BalloonText">
    <w:name w:val="Balloon Text"/>
    <w:basedOn w:val="Normal"/>
    <w:link w:val="BalloonTextChar"/>
    <w:uiPriority w:val="99"/>
    <w:semiHidden/>
    <w:unhideWhenUsed/>
    <w:rsid w:val="006D33F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D33F8"/>
    <w:rPr>
      <w:rFonts w:ascii="Tahoma" w:hAnsi="Tahoma" w:cs="Tahoma"/>
      <w:sz w:val="16"/>
      <w:szCs w:val="16"/>
    </w:rPr>
  </w:style>
  <w:style w:type="character" w:styleId="Hyperlink">
    <w:name w:val="Hyperlink"/>
    <w:uiPriority w:val="99"/>
    <w:unhideWhenUsed/>
    <w:rsid w:val="006D33F8"/>
    <w:rPr>
      <w:color w:val="0000FF"/>
      <w:u w:val="single"/>
    </w:rPr>
  </w:style>
  <w:style w:type="character" w:styleId="CommentReference">
    <w:name w:val="annotation reference"/>
    <w:uiPriority w:val="99"/>
    <w:semiHidden/>
    <w:unhideWhenUsed/>
    <w:rsid w:val="00C106CF"/>
    <w:rPr>
      <w:sz w:val="16"/>
      <w:szCs w:val="16"/>
    </w:rPr>
  </w:style>
  <w:style w:type="paragraph" w:styleId="CommentText">
    <w:name w:val="annotation text"/>
    <w:basedOn w:val="Normal"/>
    <w:link w:val="CommentTextChar"/>
    <w:uiPriority w:val="99"/>
    <w:unhideWhenUsed/>
    <w:rsid w:val="00C106CF"/>
  </w:style>
  <w:style w:type="character" w:customStyle="1" w:styleId="CommentTextChar">
    <w:name w:val="Comment Text Char"/>
    <w:link w:val="CommentText"/>
    <w:uiPriority w:val="99"/>
    <w:rsid w:val="00C106CF"/>
    <w:rPr>
      <w:rFonts w:ascii="Trebuchet MS" w:hAnsi="Trebuchet MS" w:cs="Trebuchet MS"/>
    </w:rPr>
  </w:style>
  <w:style w:type="paragraph" w:styleId="CommentSubject">
    <w:name w:val="annotation subject"/>
    <w:basedOn w:val="CommentText"/>
    <w:next w:val="CommentText"/>
    <w:link w:val="CommentSubjectChar"/>
    <w:uiPriority w:val="99"/>
    <w:semiHidden/>
    <w:unhideWhenUsed/>
    <w:rsid w:val="00C106CF"/>
    <w:rPr>
      <w:b/>
      <w:bCs/>
    </w:rPr>
  </w:style>
  <w:style w:type="character" w:customStyle="1" w:styleId="CommentSubjectChar">
    <w:name w:val="Comment Subject Char"/>
    <w:link w:val="CommentSubject"/>
    <w:uiPriority w:val="99"/>
    <w:semiHidden/>
    <w:rsid w:val="00C106CF"/>
    <w:rPr>
      <w:rFonts w:ascii="Trebuchet MS" w:hAnsi="Trebuchet MS" w:cs="Trebuchet MS"/>
      <w:b/>
      <w:bCs/>
    </w:rPr>
  </w:style>
  <w:style w:type="paragraph" w:styleId="Revision">
    <w:name w:val="Revision"/>
    <w:hidden/>
    <w:uiPriority w:val="99"/>
    <w:semiHidden/>
    <w:rsid w:val="00C75008"/>
    <w:rPr>
      <w:rFonts w:ascii="Trebuchet MS" w:hAnsi="Trebuchet MS" w:cs="Trebuchet MS"/>
    </w:rPr>
  </w:style>
  <w:style w:type="paragraph" w:styleId="ListParagraph">
    <w:name w:val="List Paragraph"/>
    <w:basedOn w:val="Normal"/>
    <w:uiPriority w:val="34"/>
    <w:qFormat/>
    <w:rsid w:val="009F0344"/>
    <w:pPr>
      <w:spacing w:line="276" w:lineRule="auto"/>
      <w:ind w:left="720"/>
      <w:contextualSpacing/>
    </w:pPr>
    <w:rPr>
      <w:rFonts w:eastAsia="Calibri" w:cs="Times New Roman"/>
      <w:szCs w:val="22"/>
      <w:lang w:eastAsia="en-US"/>
    </w:rPr>
  </w:style>
  <w:style w:type="character" w:customStyle="1" w:styleId="FooterChar">
    <w:name w:val="Footer Char"/>
    <w:link w:val="Footer"/>
    <w:rsid w:val="008B100F"/>
    <w:rPr>
      <w:rFonts w:ascii="Trebuchet MS" w:hAnsi="Trebuchet MS" w:cs="Trebuchet MS"/>
    </w:rPr>
  </w:style>
  <w:style w:type="paragraph" w:styleId="FootnoteText">
    <w:name w:val="footnote text"/>
    <w:basedOn w:val="Normal"/>
    <w:link w:val="FootnoteTextChar"/>
    <w:uiPriority w:val="99"/>
    <w:semiHidden/>
    <w:unhideWhenUsed/>
    <w:rsid w:val="00B471BD"/>
    <w:pPr>
      <w:spacing w:after="0" w:line="240" w:lineRule="auto"/>
    </w:pPr>
  </w:style>
  <w:style w:type="character" w:customStyle="1" w:styleId="FootnoteTextChar">
    <w:name w:val="Footnote Text Char"/>
    <w:basedOn w:val="DefaultParagraphFont"/>
    <w:link w:val="FootnoteText"/>
    <w:uiPriority w:val="99"/>
    <w:semiHidden/>
    <w:rsid w:val="00B471BD"/>
    <w:rPr>
      <w:rFonts w:ascii="Trebuchet MS" w:hAnsi="Trebuchet MS" w:cs="Trebuchet MS"/>
    </w:rPr>
  </w:style>
  <w:style w:type="character" w:styleId="FootnoteReference">
    <w:name w:val="footnote reference"/>
    <w:basedOn w:val="DefaultParagraphFont"/>
    <w:uiPriority w:val="99"/>
    <w:semiHidden/>
    <w:unhideWhenUsed/>
    <w:rsid w:val="00B471BD"/>
    <w:rPr>
      <w:vertAlign w:val="superscript"/>
    </w:rPr>
  </w:style>
  <w:style w:type="paragraph" w:customStyle="1" w:styleId="Navaden1">
    <w:name w:val="Navaden1"/>
    <w:basedOn w:val="Normal"/>
    <w:rsid w:val="00123769"/>
    <w:pPr>
      <w:spacing w:after="160" w:line="276" w:lineRule="auto"/>
    </w:pPr>
    <w:rPr>
      <w:rFonts w:ascii="Aptos" w:eastAsiaTheme="minorHAnsi" w:hAnsi="Aptos" w:cs="Times New Roman"/>
      <w:kern w:val="2"/>
      <w:sz w:val="24"/>
      <w:szCs w:val="24"/>
      <w14:ligatures w14:val="standardContextual"/>
    </w:rPr>
  </w:style>
  <w:style w:type="paragraph" w:customStyle="1" w:styleId="Navaden2">
    <w:name w:val="Navaden2"/>
    <w:basedOn w:val="Normal"/>
    <w:rsid w:val="00123769"/>
    <w:pPr>
      <w:spacing w:after="160" w:line="276" w:lineRule="auto"/>
    </w:pPr>
    <w:rPr>
      <w:rFonts w:ascii="Aptos" w:eastAsiaTheme="minorHAnsi" w:hAnsi="Aptos" w:cs="Times New Roman"/>
      <w:kern w:val="2"/>
      <w:sz w:val="24"/>
      <w:szCs w:val="24"/>
      <w14:ligatures w14:val="standardContextual"/>
    </w:rPr>
  </w:style>
  <w:style w:type="paragraph" w:styleId="NormalWeb">
    <w:name w:val="Normal (Web)"/>
    <w:basedOn w:val="Normal"/>
    <w:uiPriority w:val="99"/>
    <w:semiHidden/>
    <w:unhideWhenUsed/>
    <w:rsid w:val="006B5CBB"/>
    <w:pPr>
      <w:spacing w:before="100" w:beforeAutospacing="1" w:after="100" w:afterAutospacing="1" w:line="240" w:lineRule="auto"/>
    </w:pPr>
    <w:rPr>
      <w:rFonts w:ascii="Times New Roman" w:hAnsi="Times New Roman" w:cs="Times New Roman"/>
      <w:kern w:val="2"/>
      <w:sz w:val="24"/>
      <w:szCs w:val="24"/>
      <w14:ligatures w14:val="standardContextual"/>
    </w:rPr>
  </w:style>
  <w:style w:type="character" w:customStyle="1" w:styleId="Heading2Char">
    <w:name w:val="Heading 2 Char"/>
    <w:basedOn w:val="DefaultParagraphFont"/>
    <w:link w:val="Heading2"/>
    <w:uiPriority w:val="9"/>
    <w:rsid w:val="00531377"/>
    <w:rPr>
      <w:rFonts w:ascii="Trebuchet MS" w:hAnsi="Trebuchet MS" w:cs="Trebuchet MS"/>
      <w:b/>
      <w:bCs/>
    </w:rPr>
  </w:style>
  <w:style w:type="character" w:customStyle="1" w:styleId="Heading1Char">
    <w:name w:val="Heading 1 Char"/>
    <w:basedOn w:val="DefaultParagraphFont"/>
    <w:link w:val="Heading1"/>
    <w:uiPriority w:val="9"/>
    <w:rsid w:val="00531377"/>
    <w:rPr>
      <w:rFonts w:ascii="Trebuchet MS" w:hAnsi="Trebuchet MS" w:cs="Trebuchet MS"/>
      <w:sz w:val="28"/>
      <w:szCs w:val="28"/>
    </w:rPr>
  </w:style>
  <w:style w:type="paragraph" w:customStyle="1" w:styleId="Normal1">
    <w:name w:val="Normal1"/>
    <w:basedOn w:val="Normal"/>
    <w:rsid w:val="006B5CBB"/>
    <w:rPr>
      <w:rFonts w:cs="Times New Roman"/>
      <w:kern w:val="2"/>
      <w14:ligatures w14:val="standardContextual"/>
    </w:rPr>
  </w:style>
  <w:style w:type="character" w:customStyle="1" w:styleId="Naslov1Znak">
    <w:name w:val="Naslov 1 Znak"/>
    <w:basedOn w:val="DefaultParagraphFont"/>
    <w:uiPriority w:val="9"/>
    <w:rsid w:val="00C3334B"/>
    <w:rPr>
      <w:rFonts w:asciiTheme="majorHAnsi" w:eastAsiaTheme="majorEastAsia" w:hAnsiTheme="majorHAnsi" w:cstheme="majorBidi"/>
      <w:color w:val="2F5496" w:themeColor="accent1" w:themeShade="BF"/>
      <w:kern w:val="2"/>
      <w:sz w:val="40"/>
      <w:szCs w:val="40"/>
      <w14:ligatures w14:val="standardContextual"/>
    </w:rPr>
  </w:style>
  <w:style w:type="character" w:styleId="SubtleEmphasis">
    <w:name w:val="Subtle Emphasis"/>
    <w:uiPriority w:val="19"/>
    <w:qFormat/>
    <w:rsid w:val="009C5FBB"/>
  </w:style>
  <w:style w:type="paragraph" w:customStyle="1" w:styleId="Toka">
    <w:name w:val="Točka"/>
    <w:basedOn w:val="Heading2"/>
    <w:link w:val="TokaZnak"/>
    <w:qFormat/>
    <w:rsid w:val="004D39E7"/>
    <w:pPr>
      <w:numPr>
        <w:numId w:val="2"/>
      </w:numPr>
    </w:pPr>
  </w:style>
  <w:style w:type="character" w:customStyle="1" w:styleId="TokaZnak">
    <w:name w:val="Točka Znak"/>
    <w:basedOn w:val="Heading2Char"/>
    <w:link w:val="Toka"/>
    <w:rsid w:val="004D39E7"/>
    <w:rPr>
      <w:rFonts w:ascii="Trebuchet MS" w:hAnsi="Trebuchet MS" w:cs="Trebuchet MS"/>
      <w:b/>
      <w:bCs/>
    </w:rPr>
  </w:style>
  <w:style w:type="paragraph" w:customStyle="1" w:styleId="Navaden3">
    <w:name w:val="Navaden3"/>
    <w:basedOn w:val="Normal"/>
    <w:rPr>
      <w:rFonts w:cs="Times New Roman"/>
      <w:kern w:val="2"/>
      <w14:ligatures w14:val="standardContextual"/>
    </w:rPr>
  </w:style>
  <w:style w:type="paragraph" w:customStyle="1" w:styleId="Navaden4">
    <w:name w:val="Navaden4"/>
    <w:basedOn w:val="Normal"/>
    <w:pPr>
      <w:spacing w:after="160" w:line="264" w:lineRule="atLeast"/>
    </w:pPr>
    <w:rPr>
      <w:rFonts w:cs="Times New Roman"/>
      <w:kern w:val="2"/>
      <w14:ligatures w14:val="standardContextual"/>
    </w:rPr>
  </w:style>
  <w:style w:type="paragraph" w:customStyle="1" w:styleId="Navaden5">
    <w:name w:val="Navaden5"/>
    <w:basedOn w:val="Normal"/>
    <w:rsid w:val="00C61F30"/>
    <w:rPr>
      <w:rFonts w:cs="Times New Roman"/>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8b3bfc-b442-412a-bd34-a5e028ccec63">
      <Terms xmlns="http://schemas.microsoft.com/office/infopath/2007/PartnerControls"/>
    </lcf76f155ced4ddcb4097134ff3c332f>
    <TaxCatchAll xmlns="62eec898-faee-4f74-beac-da999ca8b0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A96E29311719C94AA6A2A5D66CCE62F5" ma:contentTypeVersion="11" ma:contentTypeDescription="Ustvari nov dokument." ma:contentTypeScope="" ma:versionID="2f8ea70c9cab271c2fbd28dce0247db1">
  <xsd:schema xmlns:xsd="http://www.w3.org/2001/XMLSchema" xmlns:xs="http://www.w3.org/2001/XMLSchema" xmlns:p="http://schemas.microsoft.com/office/2006/metadata/properties" xmlns:ns2="ae8b3bfc-b442-412a-bd34-a5e028ccec63" xmlns:ns3="62eec898-faee-4f74-beac-da999ca8b076" targetNamespace="http://schemas.microsoft.com/office/2006/metadata/properties" ma:root="true" ma:fieldsID="caeb4b06eed3315169a4be6ec0905f3a" ns2:_="" ns3:_="">
    <xsd:import namespace="ae8b3bfc-b442-412a-bd34-a5e028ccec63"/>
    <xsd:import namespace="62eec898-faee-4f74-beac-da999ca8b0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b3bfc-b442-412a-bd34-a5e028ccec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e" ma:readOnly="false" ma:fieldId="{5cf76f15-5ced-4ddc-b409-7134ff3c332f}" ma:taxonomyMulti="true" ma:sspId="bf51007d-b64e-47e5-9298-d924fb0574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eec898-faee-4f74-beac-da999ca8b07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4b7aa2c-3634-4e6c-895e-40ec787954de}" ma:internalName="TaxCatchAll" ma:showField="CatchAllData" ma:web="62eec898-faee-4f74-beac-da999ca8b0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B5EF79-A398-429C-B97F-6102AF6EE9E3}">
  <ds:schemaRefs>
    <ds:schemaRef ds:uri="http://schemas.microsoft.com/office/2006/metadata/properties"/>
    <ds:schemaRef ds:uri="http://schemas.microsoft.com/office/infopath/2007/PartnerControls"/>
    <ds:schemaRef ds:uri="ae8b3bfc-b442-412a-bd34-a5e028ccec63"/>
    <ds:schemaRef ds:uri="62eec898-faee-4f74-beac-da999ca8b076"/>
  </ds:schemaRefs>
</ds:datastoreItem>
</file>

<file path=customXml/itemProps2.xml><?xml version="1.0" encoding="utf-8"?>
<ds:datastoreItem xmlns:ds="http://schemas.openxmlformats.org/officeDocument/2006/customXml" ds:itemID="{49CD3547-46EF-47EA-8AAF-50F509EDD8C2}">
  <ds:schemaRefs>
    <ds:schemaRef ds:uri="http://schemas.microsoft.com/sharepoint/v3/contenttype/forms"/>
  </ds:schemaRefs>
</ds:datastoreItem>
</file>

<file path=customXml/itemProps3.xml><?xml version="1.0" encoding="utf-8"?>
<ds:datastoreItem xmlns:ds="http://schemas.openxmlformats.org/officeDocument/2006/customXml" ds:itemID="{51AEA194-FBB5-4F19-AC7C-E9132EA9A165}">
  <ds:schemaRefs>
    <ds:schemaRef ds:uri="http://schemas.openxmlformats.org/officeDocument/2006/bibliography"/>
  </ds:schemaRefs>
</ds:datastoreItem>
</file>

<file path=customXml/itemProps4.xml><?xml version="1.0" encoding="utf-8"?>
<ds:datastoreItem xmlns:ds="http://schemas.openxmlformats.org/officeDocument/2006/customXml" ds:itemID="{9DF4BB77-5714-43EF-B4E5-748930D885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b3bfc-b442-412a-bd34-a5e028ccec63"/>
    <ds:schemaRef ds:uri="62eec898-faee-4f74-beac-da999ca8b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1151</Words>
  <Characters>6565</Characters>
  <Application>Microsoft Office Word</Application>
  <DocSecurity>0</DocSecurity>
  <Lines>54</Lines>
  <Paragraphs>15</Paragraphs>
  <ScaleCrop>false</ScaleCrop>
  <Company>AZN</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40105-xxxx/11-33</dc:title>
  <dc:subject/>
  <dc:creator>mzajc</dc:creator>
  <cp:keywords/>
  <cp:lastModifiedBy>Aleš Kavšek</cp:lastModifiedBy>
  <cp:revision>13</cp:revision>
  <cp:lastPrinted>2026-09-30T06:45:00Z</cp:lastPrinted>
  <dcterms:created xsi:type="dcterms:W3CDTF">2026-09-30T07:03:00Z</dcterms:created>
  <dcterms:modified xsi:type="dcterms:W3CDTF">2026-10-05T07:56:00Z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0x010100A96E29311719C94AA6A2A5D66CCE62F5</vt:lpwstr>
  </property>
  <property fmtid="{D5CDD505-2E9C-101B-9397-08002B2CF9AE}" pid="3" name="Order">
    <vt:r8>100</vt:r8>
  </property>
  <property fmtid="{D5CDD505-2E9C-101B-9397-08002B2CF9AE}" pid="4" name="docLang">
    <vt:lpwstr>sl</vt:lpwstr>
  </property>
  <property fmtid="{D5CDD505-2E9C-101B-9397-08002B2CF9AE}" pid="5" name="MediaServiceImageTags">
    <vt:lpwstr/>
  </property>
</Properties>
</file>